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DAB4" w14:textId="7D9F3281" w:rsidR="00E47C6F" w:rsidRPr="00E47C6F" w:rsidRDefault="00E47C6F" w:rsidP="00F52825">
      <w:pPr>
        <w:pStyle w:val="Title1sl"/>
        <w:spacing w:line="276" w:lineRule="auto"/>
        <w:jc w:val="center"/>
      </w:pPr>
      <w:r w:rsidRPr="00E47C6F">
        <w:t xml:space="preserve">15 Case Summaries for </w:t>
      </w:r>
      <w:r>
        <w:br/>
      </w:r>
      <w:r w:rsidRPr="00E47C6F">
        <w:t>AP Gov't &amp; Politics</w:t>
      </w:r>
    </w:p>
    <w:p w14:paraId="0B177CB4" w14:textId="41552031" w:rsidR="00250DD3" w:rsidRDefault="00250DD3" w:rsidP="00F52825">
      <w:pPr>
        <w:pStyle w:val="Title2sl"/>
        <w:pBdr>
          <w:bottom w:val="single" w:sz="4" w:space="1" w:color="auto"/>
        </w:pBdr>
        <w:spacing w:line="276" w:lineRule="auto"/>
      </w:pPr>
      <w:r>
        <w:t>Contents</w:t>
      </w:r>
    </w:p>
    <w:p w14:paraId="77076BCA" w14:textId="2712D3B2" w:rsidR="00CC30C5" w:rsidRDefault="00CC30C5">
      <w:pPr>
        <w:pStyle w:val="TOC1"/>
        <w:tabs>
          <w:tab w:val="right" w:leader="dot" w:pos="9350"/>
        </w:tabs>
        <w:rPr>
          <w:rFonts w:asciiTheme="minorHAnsi" w:eastAsiaTheme="minorEastAsia" w:hAnsiTheme="minorHAnsi"/>
          <w:noProof/>
          <w:sz w:val="22"/>
        </w:rPr>
      </w:pPr>
      <w:r>
        <w:fldChar w:fldCharType="begin"/>
      </w:r>
      <w:r>
        <w:instrText xml:space="preserve"> TOC \o "1-1" \u </w:instrText>
      </w:r>
      <w:r>
        <w:fldChar w:fldCharType="separate"/>
      </w:r>
      <w:r w:rsidRPr="00CC30C5">
        <w:rPr>
          <w:i/>
          <w:iCs/>
          <w:noProof/>
        </w:rPr>
        <w:t>Baker v. Carr</w:t>
      </w:r>
      <w:r>
        <w:rPr>
          <w:noProof/>
        </w:rPr>
        <w:t xml:space="preserve"> </w:t>
      </w:r>
      <w:r w:rsidRPr="00E00718">
        <w:rPr>
          <w:noProof/>
        </w:rPr>
        <w:t>(1962)</w:t>
      </w:r>
      <w:r>
        <w:rPr>
          <w:noProof/>
        </w:rPr>
        <w:tab/>
      </w:r>
      <w:r>
        <w:rPr>
          <w:noProof/>
        </w:rPr>
        <w:fldChar w:fldCharType="begin"/>
      </w:r>
      <w:r>
        <w:rPr>
          <w:noProof/>
        </w:rPr>
        <w:instrText xml:space="preserve"> PAGEREF _Toc80619870 \h </w:instrText>
      </w:r>
      <w:r>
        <w:rPr>
          <w:noProof/>
        </w:rPr>
      </w:r>
      <w:r>
        <w:rPr>
          <w:noProof/>
        </w:rPr>
        <w:fldChar w:fldCharType="separate"/>
      </w:r>
      <w:r>
        <w:rPr>
          <w:noProof/>
        </w:rPr>
        <w:t>2</w:t>
      </w:r>
      <w:r>
        <w:rPr>
          <w:noProof/>
        </w:rPr>
        <w:fldChar w:fldCharType="end"/>
      </w:r>
    </w:p>
    <w:p w14:paraId="72BF1B11" w14:textId="2A5F1B71" w:rsidR="00CC30C5" w:rsidRDefault="00CC30C5">
      <w:pPr>
        <w:pStyle w:val="TOC1"/>
        <w:tabs>
          <w:tab w:val="right" w:leader="dot" w:pos="9350"/>
        </w:tabs>
        <w:rPr>
          <w:rFonts w:asciiTheme="minorHAnsi" w:eastAsiaTheme="minorEastAsia" w:hAnsiTheme="minorHAnsi"/>
          <w:noProof/>
          <w:sz w:val="22"/>
        </w:rPr>
      </w:pPr>
      <w:r w:rsidRPr="00CC30C5">
        <w:rPr>
          <w:i/>
          <w:iCs/>
          <w:noProof/>
        </w:rPr>
        <w:t>Brown</w:t>
      </w:r>
      <w:r w:rsidRPr="00CC30C5">
        <w:rPr>
          <w:i/>
          <w:iCs/>
          <w:noProof/>
          <w:color w:val="000000"/>
        </w:rPr>
        <w:t xml:space="preserve"> v. </w:t>
      </w:r>
      <w:r w:rsidRPr="00CC30C5">
        <w:rPr>
          <w:i/>
          <w:iCs/>
          <w:noProof/>
        </w:rPr>
        <w:t>Board of Education of Topeka</w:t>
      </w:r>
      <w:r>
        <w:rPr>
          <w:noProof/>
        </w:rPr>
        <w:t xml:space="preserve"> </w:t>
      </w:r>
      <w:r w:rsidRPr="00E00718">
        <w:rPr>
          <w:noProof/>
        </w:rPr>
        <w:t>(1954)</w:t>
      </w:r>
      <w:r>
        <w:rPr>
          <w:noProof/>
        </w:rPr>
        <w:tab/>
      </w:r>
      <w:r>
        <w:rPr>
          <w:noProof/>
        </w:rPr>
        <w:fldChar w:fldCharType="begin"/>
      </w:r>
      <w:r>
        <w:rPr>
          <w:noProof/>
        </w:rPr>
        <w:instrText xml:space="preserve"> PAGEREF _Toc80619871 \h </w:instrText>
      </w:r>
      <w:r>
        <w:rPr>
          <w:noProof/>
        </w:rPr>
      </w:r>
      <w:r>
        <w:rPr>
          <w:noProof/>
        </w:rPr>
        <w:fldChar w:fldCharType="separate"/>
      </w:r>
      <w:r>
        <w:rPr>
          <w:noProof/>
        </w:rPr>
        <w:t>7</w:t>
      </w:r>
      <w:r>
        <w:rPr>
          <w:noProof/>
        </w:rPr>
        <w:fldChar w:fldCharType="end"/>
      </w:r>
    </w:p>
    <w:p w14:paraId="287E5097" w14:textId="73B2FA3C" w:rsidR="00CC30C5" w:rsidRDefault="00CC30C5">
      <w:pPr>
        <w:pStyle w:val="TOC1"/>
        <w:tabs>
          <w:tab w:val="right" w:leader="dot" w:pos="9350"/>
        </w:tabs>
        <w:rPr>
          <w:rFonts w:asciiTheme="minorHAnsi" w:eastAsiaTheme="minorEastAsia" w:hAnsiTheme="minorHAnsi"/>
          <w:noProof/>
          <w:sz w:val="22"/>
        </w:rPr>
      </w:pPr>
      <w:r w:rsidRPr="00CC30C5">
        <w:rPr>
          <w:i/>
          <w:iCs/>
          <w:noProof/>
        </w:rPr>
        <w:t>Citizens United v. FEC</w:t>
      </w:r>
      <w:r w:rsidRPr="00E00718">
        <w:rPr>
          <w:noProof/>
        </w:rPr>
        <w:t xml:space="preserve"> (2010)</w:t>
      </w:r>
      <w:r>
        <w:rPr>
          <w:noProof/>
        </w:rPr>
        <w:tab/>
      </w:r>
      <w:r>
        <w:rPr>
          <w:noProof/>
        </w:rPr>
        <w:fldChar w:fldCharType="begin"/>
      </w:r>
      <w:r>
        <w:rPr>
          <w:noProof/>
        </w:rPr>
        <w:instrText xml:space="preserve"> PAGEREF _Toc80619872 \h </w:instrText>
      </w:r>
      <w:r>
        <w:rPr>
          <w:noProof/>
        </w:rPr>
      </w:r>
      <w:r>
        <w:rPr>
          <w:noProof/>
        </w:rPr>
        <w:fldChar w:fldCharType="separate"/>
      </w:r>
      <w:r>
        <w:rPr>
          <w:noProof/>
        </w:rPr>
        <w:t>12</w:t>
      </w:r>
      <w:r>
        <w:rPr>
          <w:noProof/>
        </w:rPr>
        <w:fldChar w:fldCharType="end"/>
      </w:r>
    </w:p>
    <w:p w14:paraId="10E67C9C" w14:textId="74D52C7C" w:rsidR="00CC30C5" w:rsidRDefault="00CC30C5">
      <w:pPr>
        <w:pStyle w:val="TOC1"/>
        <w:tabs>
          <w:tab w:val="right" w:leader="dot" w:pos="9350"/>
        </w:tabs>
        <w:rPr>
          <w:rFonts w:asciiTheme="minorHAnsi" w:eastAsiaTheme="minorEastAsia" w:hAnsiTheme="minorHAnsi"/>
          <w:noProof/>
          <w:sz w:val="22"/>
        </w:rPr>
      </w:pPr>
      <w:r w:rsidRPr="00CC30C5">
        <w:rPr>
          <w:i/>
          <w:iCs/>
          <w:noProof/>
        </w:rPr>
        <w:t>Engel v. Vitale</w:t>
      </w:r>
      <w:r>
        <w:rPr>
          <w:noProof/>
        </w:rPr>
        <w:t xml:space="preserve"> </w:t>
      </w:r>
      <w:r w:rsidRPr="00E00718">
        <w:rPr>
          <w:noProof/>
        </w:rPr>
        <w:t>(1962)</w:t>
      </w:r>
      <w:r>
        <w:rPr>
          <w:noProof/>
        </w:rPr>
        <w:tab/>
      </w:r>
      <w:r>
        <w:rPr>
          <w:noProof/>
        </w:rPr>
        <w:fldChar w:fldCharType="begin"/>
      </w:r>
      <w:r>
        <w:rPr>
          <w:noProof/>
        </w:rPr>
        <w:instrText xml:space="preserve"> PAGEREF _Toc80619873 \h </w:instrText>
      </w:r>
      <w:r>
        <w:rPr>
          <w:noProof/>
        </w:rPr>
      </w:r>
      <w:r>
        <w:rPr>
          <w:noProof/>
        </w:rPr>
        <w:fldChar w:fldCharType="separate"/>
      </w:r>
      <w:r>
        <w:rPr>
          <w:noProof/>
        </w:rPr>
        <w:t>18</w:t>
      </w:r>
      <w:r>
        <w:rPr>
          <w:noProof/>
        </w:rPr>
        <w:fldChar w:fldCharType="end"/>
      </w:r>
    </w:p>
    <w:p w14:paraId="754738A5" w14:textId="21F899B8" w:rsidR="00CC30C5" w:rsidRDefault="00CC30C5">
      <w:pPr>
        <w:pStyle w:val="TOC1"/>
        <w:tabs>
          <w:tab w:val="right" w:leader="dot" w:pos="9350"/>
        </w:tabs>
        <w:rPr>
          <w:rFonts w:asciiTheme="minorHAnsi" w:eastAsiaTheme="minorEastAsia" w:hAnsiTheme="minorHAnsi"/>
          <w:noProof/>
          <w:sz w:val="22"/>
        </w:rPr>
      </w:pPr>
      <w:r w:rsidRPr="00CC30C5">
        <w:rPr>
          <w:i/>
          <w:iCs/>
          <w:noProof/>
        </w:rPr>
        <w:t>Gideon v. Wainwright</w:t>
      </w:r>
      <w:r>
        <w:rPr>
          <w:noProof/>
        </w:rPr>
        <w:t xml:space="preserve"> </w:t>
      </w:r>
      <w:r w:rsidRPr="00E00718">
        <w:rPr>
          <w:noProof/>
        </w:rPr>
        <w:t>(1963)</w:t>
      </w:r>
      <w:r>
        <w:rPr>
          <w:noProof/>
        </w:rPr>
        <w:tab/>
      </w:r>
      <w:r>
        <w:rPr>
          <w:noProof/>
        </w:rPr>
        <w:fldChar w:fldCharType="begin"/>
      </w:r>
      <w:r>
        <w:rPr>
          <w:noProof/>
        </w:rPr>
        <w:instrText xml:space="preserve"> PAGEREF _Toc80619874 \h </w:instrText>
      </w:r>
      <w:r>
        <w:rPr>
          <w:noProof/>
        </w:rPr>
      </w:r>
      <w:r>
        <w:rPr>
          <w:noProof/>
        </w:rPr>
        <w:fldChar w:fldCharType="separate"/>
      </w:r>
      <w:r>
        <w:rPr>
          <w:noProof/>
        </w:rPr>
        <w:t>23</w:t>
      </w:r>
      <w:r>
        <w:rPr>
          <w:noProof/>
        </w:rPr>
        <w:fldChar w:fldCharType="end"/>
      </w:r>
    </w:p>
    <w:p w14:paraId="48551930" w14:textId="7172D5D4" w:rsidR="00CC30C5" w:rsidRDefault="00CC30C5">
      <w:pPr>
        <w:pStyle w:val="TOC1"/>
        <w:tabs>
          <w:tab w:val="right" w:leader="dot" w:pos="9350"/>
        </w:tabs>
        <w:rPr>
          <w:rFonts w:asciiTheme="minorHAnsi" w:eastAsiaTheme="minorEastAsia" w:hAnsiTheme="minorHAnsi"/>
          <w:noProof/>
          <w:sz w:val="22"/>
        </w:rPr>
      </w:pPr>
      <w:r w:rsidRPr="00CC30C5">
        <w:rPr>
          <w:i/>
          <w:iCs/>
          <w:noProof/>
        </w:rPr>
        <w:t>Marbury</w:t>
      </w:r>
      <w:r w:rsidRPr="00CC30C5">
        <w:rPr>
          <w:i/>
          <w:iCs/>
          <w:noProof/>
          <w:color w:val="000000"/>
        </w:rPr>
        <w:t xml:space="preserve"> v. </w:t>
      </w:r>
      <w:r w:rsidRPr="00CC30C5">
        <w:rPr>
          <w:i/>
          <w:iCs/>
          <w:noProof/>
        </w:rPr>
        <w:t>Madison</w:t>
      </w:r>
      <w:r>
        <w:rPr>
          <w:noProof/>
        </w:rPr>
        <w:t xml:space="preserve"> </w:t>
      </w:r>
      <w:r w:rsidRPr="00E00718">
        <w:rPr>
          <w:noProof/>
        </w:rPr>
        <w:t>(1803)</w:t>
      </w:r>
      <w:r>
        <w:rPr>
          <w:noProof/>
        </w:rPr>
        <w:tab/>
      </w:r>
      <w:r>
        <w:rPr>
          <w:noProof/>
        </w:rPr>
        <w:fldChar w:fldCharType="begin"/>
      </w:r>
      <w:r>
        <w:rPr>
          <w:noProof/>
        </w:rPr>
        <w:instrText xml:space="preserve"> PAGEREF _Toc80619875 \h </w:instrText>
      </w:r>
      <w:r>
        <w:rPr>
          <w:noProof/>
        </w:rPr>
      </w:r>
      <w:r>
        <w:rPr>
          <w:noProof/>
        </w:rPr>
        <w:fldChar w:fldCharType="separate"/>
      </w:r>
      <w:r>
        <w:rPr>
          <w:noProof/>
        </w:rPr>
        <w:t>27</w:t>
      </w:r>
      <w:r>
        <w:rPr>
          <w:noProof/>
        </w:rPr>
        <w:fldChar w:fldCharType="end"/>
      </w:r>
    </w:p>
    <w:p w14:paraId="03B41B09" w14:textId="05782B99" w:rsidR="00CC30C5" w:rsidRDefault="00CC30C5">
      <w:pPr>
        <w:pStyle w:val="TOC1"/>
        <w:tabs>
          <w:tab w:val="right" w:leader="dot" w:pos="9350"/>
        </w:tabs>
        <w:rPr>
          <w:rFonts w:asciiTheme="minorHAnsi" w:eastAsiaTheme="minorEastAsia" w:hAnsiTheme="minorHAnsi"/>
          <w:noProof/>
          <w:sz w:val="22"/>
        </w:rPr>
      </w:pPr>
      <w:r w:rsidRPr="00CC30C5">
        <w:rPr>
          <w:i/>
          <w:iCs/>
          <w:noProof/>
        </w:rPr>
        <w:t>McCulloch</w:t>
      </w:r>
      <w:r w:rsidRPr="00CC30C5">
        <w:rPr>
          <w:i/>
          <w:iCs/>
          <w:noProof/>
          <w:color w:val="000000"/>
        </w:rPr>
        <w:t xml:space="preserve"> v. </w:t>
      </w:r>
      <w:r w:rsidRPr="00CC30C5">
        <w:rPr>
          <w:i/>
          <w:iCs/>
          <w:noProof/>
        </w:rPr>
        <w:t>Maryland</w:t>
      </w:r>
      <w:r>
        <w:rPr>
          <w:noProof/>
        </w:rPr>
        <w:t xml:space="preserve"> </w:t>
      </w:r>
      <w:r w:rsidRPr="00E00718">
        <w:rPr>
          <w:noProof/>
        </w:rPr>
        <w:t>(1819)</w:t>
      </w:r>
      <w:r>
        <w:rPr>
          <w:noProof/>
        </w:rPr>
        <w:tab/>
      </w:r>
      <w:r>
        <w:rPr>
          <w:noProof/>
        </w:rPr>
        <w:fldChar w:fldCharType="begin"/>
      </w:r>
      <w:r>
        <w:rPr>
          <w:noProof/>
        </w:rPr>
        <w:instrText xml:space="preserve"> PAGEREF _Toc80619876 \h </w:instrText>
      </w:r>
      <w:r>
        <w:rPr>
          <w:noProof/>
        </w:rPr>
      </w:r>
      <w:r>
        <w:rPr>
          <w:noProof/>
        </w:rPr>
        <w:fldChar w:fldCharType="separate"/>
      </w:r>
      <w:r>
        <w:rPr>
          <w:noProof/>
        </w:rPr>
        <w:t>31</w:t>
      </w:r>
      <w:r>
        <w:rPr>
          <w:noProof/>
        </w:rPr>
        <w:fldChar w:fldCharType="end"/>
      </w:r>
    </w:p>
    <w:p w14:paraId="2F7DDE85" w14:textId="20CA466F" w:rsidR="00CC30C5" w:rsidRDefault="00CC30C5">
      <w:pPr>
        <w:pStyle w:val="TOC1"/>
        <w:tabs>
          <w:tab w:val="right" w:leader="dot" w:pos="9350"/>
        </w:tabs>
        <w:rPr>
          <w:rFonts w:asciiTheme="minorHAnsi" w:eastAsiaTheme="minorEastAsia" w:hAnsiTheme="minorHAnsi"/>
          <w:noProof/>
          <w:sz w:val="22"/>
        </w:rPr>
      </w:pPr>
      <w:r w:rsidRPr="00CC30C5">
        <w:rPr>
          <w:i/>
          <w:iCs/>
          <w:noProof/>
        </w:rPr>
        <w:t>McDonald v. City of Chicago</w:t>
      </w:r>
      <w:r>
        <w:rPr>
          <w:noProof/>
        </w:rPr>
        <w:t xml:space="preserve"> </w:t>
      </w:r>
      <w:r w:rsidRPr="00E00718">
        <w:rPr>
          <w:noProof/>
        </w:rPr>
        <w:t>(2010)</w:t>
      </w:r>
      <w:r>
        <w:rPr>
          <w:noProof/>
        </w:rPr>
        <w:tab/>
      </w:r>
      <w:r>
        <w:rPr>
          <w:noProof/>
        </w:rPr>
        <w:fldChar w:fldCharType="begin"/>
      </w:r>
      <w:r>
        <w:rPr>
          <w:noProof/>
        </w:rPr>
        <w:instrText xml:space="preserve"> PAGEREF _Toc80619877 \h </w:instrText>
      </w:r>
      <w:r>
        <w:rPr>
          <w:noProof/>
        </w:rPr>
      </w:r>
      <w:r>
        <w:rPr>
          <w:noProof/>
        </w:rPr>
        <w:fldChar w:fldCharType="separate"/>
      </w:r>
      <w:r>
        <w:rPr>
          <w:noProof/>
        </w:rPr>
        <w:t>35</w:t>
      </w:r>
      <w:r>
        <w:rPr>
          <w:noProof/>
        </w:rPr>
        <w:fldChar w:fldCharType="end"/>
      </w:r>
    </w:p>
    <w:p w14:paraId="0ACE5B47" w14:textId="68B912B1" w:rsidR="00CC30C5" w:rsidRDefault="00CC30C5">
      <w:pPr>
        <w:pStyle w:val="TOC1"/>
        <w:tabs>
          <w:tab w:val="right" w:leader="dot" w:pos="9350"/>
        </w:tabs>
        <w:rPr>
          <w:rFonts w:asciiTheme="minorHAnsi" w:eastAsiaTheme="minorEastAsia" w:hAnsiTheme="minorHAnsi"/>
          <w:noProof/>
          <w:sz w:val="22"/>
        </w:rPr>
      </w:pPr>
      <w:r w:rsidRPr="00CC30C5">
        <w:rPr>
          <w:i/>
          <w:iCs/>
          <w:noProof/>
        </w:rPr>
        <w:t>New York Times Co. v. United States</w:t>
      </w:r>
      <w:r>
        <w:rPr>
          <w:noProof/>
        </w:rPr>
        <w:t xml:space="preserve"> </w:t>
      </w:r>
      <w:r w:rsidRPr="00E00718">
        <w:rPr>
          <w:noProof/>
        </w:rPr>
        <w:t>(1971)</w:t>
      </w:r>
      <w:r>
        <w:rPr>
          <w:noProof/>
        </w:rPr>
        <w:tab/>
      </w:r>
      <w:r>
        <w:rPr>
          <w:noProof/>
        </w:rPr>
        <w:fldChar w:fldCharType="begin"/>
      </w:r>
      <w:r>
        <w:rPr>
          <w:noProof/>
        </w:rPr>
        <w:instrText xml:space="preserve"> PAGEREF _Toc80619878 \h </w:instrText>
      </w:r>
      <w:r>
        <w:rPr>
          <w:noProof/>
        </w:rPr>
      </w:r>
      <w:r>
        <w:rPr>
          <w:noProof/>
        </w:rPr>
        <w:fldChar w:fldCharType="separate"/>
      </w:r>
      <w:r>
        <w:rPr>
          <w:noProof/>
        </w:rPr>
        <w:t>40</w:t>
      </w:r>
      <w:r>
        <w:rPr>
          <w:noProof/>
        </w:rPr>
        <w:fldChar w:fldCharType="end"/>
      </w:r>
    </w:p>
    <w:p w14:paraId="299066CB" w14:textId="16440E65" w:rsidR="00CC30C5" w:rsidRDefault="00CC30C5">
      <w:pPr>
        <w:pStyle w:val="TOC1"/>
        <w:tabs>
          <w:tab w:val="right" w:leader="dot" w:pos="9350"/>
        </w:tabs>
        <w:rPr>
          <w:rFonts w:asciiTheme="minorHAnsi" w:eastAsiaTheme="minorEastAsia" w:hAnsiTheme="minorHAnsi"/>
          <w:noProof/>
          <w:sz w:val="22"/>
        </w:rPr>
      </w:pPr>
      <w:r w:rsidRPr="00CC30C5">
        <w:rPr>
          <w:i/>
          <w:iCs/>
          <w:noProof/>
        </w:rPr>
        <w:t>Roe v. Wade</w:t>
      </w:r>
      <w:r>
        <w:rPr>
          <w:noProof/>
        </w:rPr>
        <w:t xml:space="preserve"> </w:t>
      </w:r>
      <w:r w:rsidRPr="00E00718">
        <w:rPr>
          <w:noProof/>
        </w:rPr>
        <w:t>(1973)</w:t>
      </w:r>
      <w:r>
        <w:rPr>
          <w:noProof/>
        </w:rPr>
        <w:tab/>
      </w:r>
      <w:r>
        <w:rPr>
          <w:noProof/>
        </w:rPr>
        <w:fldChar w:fldCharType="begin"/>
      </w:r>
      <w:r>
        <w:rPr>
          <w:noProof/>
        </w:rPr>
        <w:instrText xml:space="preserve"> PAGEREF _Toc80619879 \h </w:instrText>
      </w:r>
      <w:r>
        <w:rPr>
          <w:noProof/>
        </w:rPr>
      </w:r>
      <w:r>
        <w:rPr>
          <w:noProof/>
        </w:rPr>
        <w:fldChar w:fldCharType="separate"/>
      </w:r>
      <w:r>
        <w:rPr>
          <w:noProof/>
        </w:rPr>
        <w:t>46</w:t>
      </w:r>
      <w:r>
        <w:rPr>
          <w:noProof/>
        </w:rPr>
        <w:fldChar w:fldCharType="end"/>
      </w:r>
    </w:p>
    <w:p w14:paraId="23C455D6" w14:textId="7A8A10D8" w:rsidR="00CC30C5" w:rsidRDefault="00CC30C5">
      <w:pPr>
        <w:pStyle w:val="TOC1"/>
        <w:tabs>
          <w:tab w:val="right" w:leader="dot" w:pos="9350"/>
        </w:tabs>
        <w:rPr>
          <w:rFonts w:asciiTheme="minorHAnsi" w:eastAsiaTheme="minorEastAsia" w:hAnsiTheme="minorHAnsi"/>
          <w:noProof/>
          <w:sz w:val="22"/>
        </w:rPr>
      </w:pPr>
      <w:r w:rsidRPr="00CC30C5">
        <w:rPr>
          <w:i/>
          <w:iCs/>
          <w:noProof/>
        </w:rPr>
        <w:t>Schenck v. United States</w:t>
      </w:r>
      <w:r>
        <w:rPr>
          <w:noProof/>
        </w:rPr>
        <w:t xml:space="preserve"> </w:t>
      </w:r>
      <w:r w:rsidRPr="00E00718">
        <w:rPr>
          <w:noProof/>
        </w:rPr>
        <w:t>(1919)</w:t>
      </w:r>
      <w:r>
        <w:rPr>
          <w:noProof/>
        </w:rPr>
        <w:tab/>
      </w:r>
      <w:r>
        <w:rPr>
          <w:noProof/>
        </w:rPr>
        <w:fldChar w:fldCharType="begin"/>
      </w:r>
      <w:r>
        <w:rPr>
          <w:noProof/>
        </w:rPr>
        <w:instrText xml:space="preserve"> PAGEREF _Toc80619880 \h </w:instrText>
      </w:r>
      <w:r>
        <w:rPr>
          <w:noProof/>
        </w:rPr>
      </w:r>
      <w:r>
        <w:rPr>
          <w:noProof/>
        </w:rPr>
        <w:fldChar w:fldCharType="separate"/>
      </w:r>
      <w:r>
        <w:rPr>
          <w:noProof/>
        </w:rPr>
        <w:t>52</w:t>
      </w:r>
      <w:r>
        <w:rPr>
          <w:noProof/>
        </w:rPr>
        <w:fldChar w:fldCharType="end"/>
      </w:r>
    </w:p>
    <w:p w14:paraId="3E1DAF49" w14:textId="6B8914C2" w:rsidR="00CC30C5" w:rsidRDefault="00CC30C5">
      <w:pPr>
        <w:pStyle w:val="TOC1"/>
        <w:tabs>
          <w:tab w:val="right" w:leader="dot" w:pos="9350"/>
        </w:tabs>
        <w:rPr>
          <w:rFonts w:asciiTheme="minorHAnsi" w:eastAsiaTheme="minorEastAsia" w:hAnsiTheme="minorHAnsi"/>
          <w:noProof/>
          <w:sz w:val="22"/>
        </w:rPr>
      </w:pPr>
      <w:r w:rsidRPr="00CC30C5">
        <w:rPr>
          <w:i/>
          <w:iCs/>
          <w:noProof/>
        </w:rPr>
        <w:t>Shaw v. Reno</w:t>
      </w:r>
      <w:r>
        <w:rPr>
          <w:noProof/>
        </w:rPr>
        <w:t xml:space="preserve"> </w:t>
      </w:r>
      <w:r w:rsidRPr="00E00718">
        <w:rPr>
          <w:noProof/>
        </w:rPr>
        <w:t>(1993)</w:t>
      </w:r>
      <w:r>
        <w:rPr>
          <w:noProof/>
        </w:rPr>
        <w:tab/>
      </w:r>
      <w:r>
        <w:rPr>
          <w:noProof/>
        </w:rPr>
        <w:fldChar w:fldCharType="begin"/>
      </w:r>
      <w:r>
        <w:rPr>
          <w:noProof/>
        </w:rPr>
        <w:instrText xml:space="preserve"> PAGEREF _Toc80619881 \h </w:instrText>
      </w:r>
      <w:r>
        <w:rPr>
          <w:noProof/>
        </w:rPr>
      </w:r>
      <w:r>
        <w:rPr>
          <w:noProof/>
        </w:rPr>
        <w:fldChar w:fldCharType="separate"/>
      </w:r>
      <w:r>
        <w:rPr>
          <w:noProof/>
        </w:rPr>
        <w:t>56</w:t>
      </w:r>
      <w:r>
        <w:rPr>
          <w:noProof/>
        </w:rPr>
        <w:fldChar w:fldCharType="end"/>
      </w:r>
    </w:p>
    <w:p w14:paraId="13DA545F" w14:textId="7978D6F1" w:rsidR="00CC30C5" w:rsidRDefault="00CC30C5">
      <w:pPr>
        <w:pStyle w:val="TOC1"/>
        <w:tabs>
          <w:tab w:val="right" w:leader="dot" w:pos="9350"/>
        </w:tabs>
        <w:rPr>
          <w:rFonts w:asciiTheme="minorHAnsi" w:eastAsiaTheme="minorEastAsia" w:hAnsiTheme="minorHAnsi"/>
          <w:noProof/>
          <w:sz w:val="22"/>
        </w:rPr>
      </w:pPr>
      <w:r w:rsidRPr="00CC30C5">
        <w:rPr>
          <w:i/>
          <w:iCs/>
          <w:noProof/>
        </w:rPr>
        <w:t>Tinker v. Des Moines Independent Community School District</w:t>
      </w:r>
      <w:r>
        <w:rPr>
          <w:noProof/>
        </w:rPr>
        <w:t xml:space="preserve"> </w:t>
      </w:r>
      <w:r w:rsidRPr="00E00718">
        <w:rPr>
          <w:noProof/>
        </w:rPr>
        <w:t>(1969)</w:t>
      </w:r>
      <w:r>
        <w:rPr>
          <w:noProof/>
        </w:rPr>
        <w:tab/>
      </w:r>
      <w:r>
        <w:rPr>
          <w:noProof/>
        </w:rPr>
        <w:fldChar w:fldCharType="begin"/>
      </w:r>
      <w:r>
        <w:rPr>
          <w:noProof/>
        </w:rPr>
        <w:instrText xml:space="preserve"> PAGEREF _Toc80619882 \h </w:instrText>
      </w:r>
      <w:r>
        <w:rPr>
          <w:noProof/>
        </w:rPr>
      </w:r>
      <w:r>
        <w:rPr>
          <w:noProof/>
        </w:rPr>
        <w:fldChar w:fldCharType="separate"/>
      </w:r>
      <w:r>
        <w:rPr>
          <w:noProof/>
        </w:rPr>
        <w:t>61</w:t>
      </w:r>
      <w:r>
        <w:rPr>
          <w:noProof/>
        </w:rPr>
        <w:fldChar w:fldCharType="end"/>
      </w:r>
    </w:p>
    <w:p w14:paraId="39E3739D" w14:textId="3C8C0D97" w:rsidR="00CC30C5" w:rsidRDefault="00CC30C5">
      <w:pPr>
        <w:pStyle w:val="TOC1"/>
        <w:tabs>
          <w:tab w:val="right" w:leader="dot" w:pos="9350"/>
        </w:tabs>
        <w:rPr>
          <w:rFonts w:asciiTheme="minorHAnsi" w:eastAsiaTheme="minorEastAsia" w:hAnsiTheme="minorHAnsi"/>
          <w:noProof/>
          <w:sz w:val="22"/>
        </w:rPr>
      </w:pPr>
      <w:r w:rsidRPr="00CC30C5">
        <w:rPr>
          <w:i/>
          <w:iCs/>
          <w:noProof/>
        </w:rPr>
        <w:t>United States v. Lopez</w:t>
      </w:r>
      <w:r>
        <w:rPr>
          <w:noProof/>
        </w:rPr>
        <w:t xml:space="preserve"> </w:t>
      </w:r>
      <w:r w:rsidRPr="00E00718">
        <w:rPr>
          <w:noProof/>
        </w:rPr>
        <w:t>(1995)</w:t>
      </w:r>
      <w:r>
        <w:rPr>
          <w:noProof/>
        </w:rPr>
        <w:tab/>
      </w:r>
      <w:r>
        <w:rPr>
          <w:noProof/>
        </w:rPr>
        <w:fldChar w:fldCharType="begin"/>
      </w:r>
      <w:r>
        <w:rPr>
          <w:noProof/>
        </w:rPr>
        <w:instrText xml:space="preserve"> PAGEREF _Toc80619883 \h </w:instrText>
      </w:r>
      <w:r>
        <w:rPr>
          <w:noProof/>
        </w:rPr>
      </w:r>
      <w:r>
        <w:rPr>
          <w:noProof/>
        </w:rPr>
        <w:fldChar w:fldCharType="separate"/>
      </w:r>
      <w:r>
        <w:rPr>
          <w:noProof/>
        </w:rPr>
        <w:t>65</w:t>
      </w:r>
      <w:r>
        <w:rPr>
          <w:noProof/>
        </w:rPr>
        <w:fldChar w:fldCharType="end"/>
      </w:r>
    </w:p>
    <w:p w14:paraId="65D7233A" w14:textId="07E1B8BD" w:rsidR="00CC30C5" w:rsidRDefault="00CC30C5">
      <w:pPr>
        <w:pStyle w:val="TOC1"/>
        <w:tabs>
          <w:tab w:val="right" w:leader="dot" w:pos="9350"/>
        </w:tabs>
        <w:rPr>
          <w:rFonts w:asciiTheme="minorHAnsi" w:eastAsiaTheme="minorEastAsia" w:hAnsiTheme="minorHAnsi"/>
          <w:noProof/>
          <w:sz w:val="22"/>
        </w:rPr>
      </w:pPr>
      <w:r w:rsidRPr="00CC30C5">
        <w:rPr>
          <w:i/>
          <w:iCs/>
          <w:noProof/>
        </w:rPr>
        <w:t>Wisconsin v. Yoder</w:t>
      </w:r>
      <w:r>
        <w:rPr>
          <w:noProof/>
        </w:rPr>
        <w:t xml:space="preserve"> </w:t>
      </w:r>
      <w:r w:rsidRPr="00E00718">
        <w:rPr>
          <w:noProof/>
        </w:rPr>
        <w:t>(1972)</w:t>
      </w:r>
      <w:r>
        <w:rPr>
          <w:noProof/>
        </w:rPr>
        <w:tab/>
      </w:r>
      <w:r>
        <w:rPr>
          <w:noProof/>
        </w:rPr>
        <w:fldChar w:fldCharType="begin"/>
      </w:r>
      <w:r>
        <w:rPr>
          <w:noProof/>
        </w:rPr>
        <w:instrText xml:space="preserve"> PAGEREF _Toc80619884 \h </w:instrText>
      </w:r>
      <w:r>
        <w:rPr>
          <w:noProof/>
        </w:rPr>
      </w:r>
      <w:r>
        <w:rPr>
          <w:noProof/>
        </w:rPr>
        <w:fldChar w:fldCharType="separate"/>
      </w:r>
      <w:r>
        <w:rPr>
          <w:noProof/>
        </w:rPr>
        <w:t>69</w:t>
      </w:r>
      <w:r>
        <w:rPr>
          <w:noProof/>
        </w:rPr>
        <w:fldChar w:fldCharType="end"/>
      </w:r>
    </w:p>
    <w:p w14:paraId="3D872277" w14:textId="096F5612" w:rsidR="00250DD3" w:rsidRPr="00E47C6F" w:rsidRDefault="00CC30C5" w:rsidP="00F52825">
      <w:pPr>
        <w:spacing w:line="276" w:lineRule="auto"/>
      </w:pPr>
      <w:r>
        <w:fldChar w:fldCharType="end"/>
      </w:r>
    </w:p>
    <w:p w14:paraId="1DE5E1B1" w14:textId="77777777" w:rsidR="00250DD3" w:rsidRDefault="00250DD3" w:rsidP="00F52825">
      <w:pPr>
        <w:pStyle w:val="Title2sl"/>
        <w:spacing w:before="240" w:after="120" w:line="276" w:lineRule="auto"/>
        <w:rPr>
          <w:i/>
        </w:rPr>
      </w:pPr>
    </w:p>
    <w:p w14:paraId="73C40AB5" w14:textId="6D35A1A5" w:rsidR="00250DD3" w:rsidRDefault="00250DD3" w:rsidP="00F52825">
      <w:pPr>
        <w:pStyle w:val="Title2sl"/>
        <w:spacing w:before="240" w:after="120" w:line="276" w:lineRule="auto"/>
        <w:rPr>
          <w:i/>
        </w:rPr>
        <w:sectPr w:rsidR="00250DD3" w:rsidSect="00E47C6F">
          <w:headerReference w:type="default" r:id="rId11"/>
          <w:footerReference w:type="default" r:id="rId12"/>
          <w:headerReference w:type="first" r:id="rId13"/>
          <w:footerReference w:type="first" r:id="rId14"/>
          <w:footnotePr>
            <w:numFmt w:val="chicago"/>
          </w:footnotePr>
          <w:pgSz w:w="12240" w:h="15840"/>
          <w:pgMar w:top="1440" w:right="1440" w:bottom="1440" w:left="1440" w:header="720" w:footer="720" w:gutter="0"/>
          <w:cols w:space="720"/>
          <w:docGrid w:linePitch="360"/>
        </w:sectPr>
      </w:pPr>
    </w:p>
    <w:p w14:paraId="3AE990E8" w14:textId="77777777" w:rsidR="00E12D32" w:rsidRPr="00B726EB" w:rsidRDefault="00E12D32" w:rsidP="00E07FB2">
      <w:pPr>
        <w:pStyle w:val="Heading1"/>
        <w:spacing w:line="276" w:lineRule="auto"/>
      </w:pPr>
      <w:bookmarkStart w:id="0" w:name="_Toc80619870"/>
      <w:r>
        <w:lastRenderedPageBreak/>
        <w:t xml:space="preserve">Baker v. Carr </w:t>
      </w:r>
      <w:r w:rsidRPr="00E07FB2">
        <w:rPr>
          <w:i w:val="0"/>
          <w:iCs w:val="0"/>
        </w:rPr>
        <w:t>(1962)</w:t>
      </w:r>
      <w:bookmarkEnd w:id="0"/>
    </w:p>
    <w:p w14:paraId="2D68EE1F" w14:textId="77777777" w:rsidR="00E12D32" w:rsidRPr="00E10979" w:rsidRDefault="00E12D32" w:rsidP="00F52825">
      <w:pPr>
        <w:pStyle w:val="Basiccopysl"/>
        <w:jc w:val="center"/>
      </w:pPr>
      <w:r w:rsidRPr="00E10979">
        <w:rPr>
          <w:b/>
        </w:rPr>
        <w:t>Argued:</w:t>
      </w:r>
      <w:r w:rsidRPr="00E10979">
        <w:t xml:space="preserve"> April 19</w:t>
      </w:r>
      <w:r>
        <w:t>–</w:t>
      </w:r>
      <w:r w:rsidRPr="00E10979">
        <w:t>21, 1961</w:t>
      </w:r>
    </w:p>
    <w:p w14:paraId="2D83ECEF" w14:textId="77777777" w:rsidR="00E12D32" w:rsidRDefault="00E12D32" w:rsidP="00F52825">
      <w:pPr>
        <w:pStyle w:val="Basiccopysl"/>
        <w:jc w:val="center"/>
      </w:pPr>
      <w:r w:rsidRPr="00E10979">
        <w:rPr>
          <w:b/>
        </w:rPr>
        <w:t>Re-argued:</w:t>
      </w:r>
      <w:r w:rsidRPr="00E10979">
        <w:t xml:space="preserve"> October 9, 1961</w:t>
      </w:r>
    </w:p>
    <w:p w14:paraId="39256637" w14:textId="77777777" w:rsidR="00E12D32" w:rsidRPr="00E10979" w:rsidRDefault="00E12D32" w:rsidP="00F52825">
      <w:pPr>
        <w:pStyle w:val="Basiccopysl"/>
        <w:jc w:val="center"/>
      </w:pPr>
      <w:r w:rsidRPr="00E10979">
        <w:rPr>
          <w:b/>
        </w:rPr>
        <w:t>Decided:</w:t>
      </w:r>
      <w:r w:rsidRPr="00E10979">
        <w:t xml:space="preserve"> March 26, 1962</w:t>
      </w:r>
    </w:p>
    <w:p w14:paraId="6ACF1A34" w14:textId="77777777" w:rsidR="00E12D32" w:rsidRDefault="00E12D32" w:rsidP="00F52825">
      <w:pPr>
        <w:pStyle w:val="Subhead2sl"/>
        <w:tabs>
          <w:tab w:val="left" w:pos="2114"/>
        </w:tabs>
        <w:spacing w:line="276" w:lineRule="auto"/>
      </w:pPr>
      <w:r>
        <w:t>Background</w:t>
      </w:r>
    </w:p>
    <w:p w14:paraId="262D2F02" w14:textId="77777777" w:rsidR="00E12D32" w:rsidRDefault="00E12D32" w:rsidP="00F52825">
      <w:pPr>
        <w:pStyle w:val="Basiccopysl"/>
      </w:pPr>
      <w:r>
        <w:t xml:space="preserve">In the United States,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many people moved from rural areas to cities. As a result, a significant number of legislative districts became uneven—for example, a rural district with 500 people and an urban district with 5,000 people would each have only one representative in the state legislature. Some voters filed lawsuits to address the inequities, but federal courts deferred to state laws and would not hear these cases. </w:t>
      </w:r>
    </w:p>
    <w:p w14:paraId="2E712BC8" w14:textId="4A6A5E62" w:rsidR="00E12D32" w:rsidRDefault="00E12D32" w:rsidP="00F52825">
      <w:pPr>
        <w:pStyle w:val="Basiccopysl"/>
      </w:pPr>
      <w:r>
        <w:t xml:space="preserve">Federal courts did not hear these cases because they were thought to be “political” matters. Courts were reluctant to interfere when another branch of government (i.e., the executive or legislative) </w:t>
      </w:r>
      <w:r w:rsidR="00462097">
        <w:t>decided</w:t>
      </w:r>
      <w:r>
        <w:t xml:space="preserve">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14:paraId="46A95925" w14:textId="77777777" w:rsidR="00E12D32" w:rsidRDefault="00E12D32" w:rsidP="00F52825">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14:paraId="69CDB0D6" w14:textId="77777777" w:rsidR="00E12D32" w:rsidRDefault="00E12D32" w:rsidP="00F52825">
      <w:pPr>
        <w:pStyle w:val="Subhead2sl"/>
        <w:spacing w:line="276" w:lineRule="auto"/>
      </w:pPr>
      <w:r w:rsidRPr="007270F1">
        <w:t>Facts</w:t>
      </w:r>
    </w:p>
    <w:p w14:paraId="1305FE20" w14:textId="77777777" w:rsidR="00E12D32" w:rsidRPr="00FF53C7" w:rsidRDefault="00E12D32" w:rsidP="00F52825">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14:paraId="67F2D92E" w14:textId="77777777" w:rsidR="00E12D32" w:rsidRDefault="00E12D32" w:rsidP="00F52825">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14:paraId="6A82A575" w14:textId="77777777" w:rsidR="00E12D32" w:rsidRDefault="00E12D32" w:rsidP="00F52825">
      <w:pPr>
        <w:pStyle w:val="Basiccopysl"/>
      </w:pPr>
      <w:r>
        <w:lastRenderedPageBreak/>
        <w:t>An eligible voter who lived in an urban area of Shelby County (Memphis), Charles Baker, believed that he and similar residents of more heavily populated legislative districts were being denied “equal protection of the laws” under the 14</w:t>
      </w:r>
      <w:r w:rsidRPr="7A9E088F">
        <w:rPr>
          <w:vertAlign w:val="superscript"/>
        </w:rPr>
        <w:t>th</w:t>
      </w:r>
      <w:r>
        <w:t xml:space="preserve"> Amendment because their votes were “devalued.” He argued that his vote, and those of voters in similar situations, would not count the same as those of voters residing in less populated, rural areas. He took his case to the U.S. District Court for the Middle District of Tennessee and sued the state officials responsible for supervising elections.</w:t>
      </w:r>
    </w:p>
    <w:p w14:paraId="31125AFD" w14:textId="77777777" w:rsidR="00E12D32" w:rsidRPr="00FF53C7" w:rsidRDefault="00E12D32" w:rsidP="00F52825">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14:paraId="28395B73" w14:textId="77777777" w:rsidR="00E12D32" w:rsidRPr="00B24D35" w:rsidRDefault="00E12D32" w:rsidP="00F52825">
      <w:pPr>
        <w:pStyle w:val="Subhead2sl"/>
        <w:spacing w:line="276" w:lineRule="auto"/>
      </w:pPr>
      <w:r w:rsidRPr="007270F1">
        <w:t>Issue</w:t>
      </w:r>
    </w:p>
    <w:p w14:paraId="3B7625D1" w14:textId="77777777" w:rsidR="00E12D32" w:rsidRPr="00E10979" w:rsidRDefault="00E12D32" w:rsidP="00F52825">
      <w:pPr>
        <w:pStyle w:val="Basiccopysl"/>
      </w:pPr>
      <w:r w:rsidRPr="00E10979">
        <w:t>Do federal courts have the power to decide cases about the apportionment of population into state legislative districts?</w:t>
      </w:r>
    </w:p>
    <w:p w14:paraId="3E959100" w14:textId="77777777" w:rsidR="00E12D32" w:rsidRPr="007270F1" w:rsidRDefault="00E12D32" w:rsidP="00F52825">
      <w:pPr>
        <w:pStyle w:val="Subhead2sl"/>
        <w:spacing w:line="276" w:lineRule="auto"/>
      </w:pPr>
      <w:r>
        <w:t>Constitutional Provisions and Supreme Court Precedent</w:t>
      </w:r>
    </w:p>
    <w:p w14:paraId="0AE8912F" w14:textId="77777777" w:rsidR="00E12D32" w:rsidRPr="007A59B9" w:rsidRDefault="00E12D32" w:rsidP="00F52825">
      <w:pPr>
        <w:pStyle w:val="Bulletsl"/>
        <w:spacing w:before="240" w:line="276" w:lineRule="auto"/>
        <w:rPr>
          <w:b/>
        </w:rPr>
      </w:pPr>
      <w:r w:rsidRPr="00E10979">
        <w:rPr>
          <w:b/>
        </w:rPr>
        <w:t>Article III, section 2 of the U.S. Constitution</w:t>
      </w:r>
    </w:p>
    <w:p w14:paraId="171665EF" w14:textId="77777777" w:rsidR="00E12D32" w:rsidRDefault="00E12D32" w:rsidP="00F52825">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w:t>
      </w:r>
    </w:p>
    <w:p w14:paraId="51513B98" w14:textId="77777777" w:rsidR="00E12D32" w:rsidRPr="00E10979" w:rsidRDefault="00E12D32" w:rsidP="00F52825">
      <w:pPr>
        <w:pStyle w:val="Bulletsl"/>
        <w:spacing w:before="240" w:line="276" w:lineRule="auto"/>
        <w:rPr>
          <w:b/>
          <w:bCs/>
        </w:rPr>
      </w:pPr>
      <w:r w:rsidRPr="7A9E088F">
        <w:rPr>
          <w:b/>
          <w:bCs/>
        </w:rPr>
        <w:t>14</w:t>
      </w:r>
      <w:r w:rsidRPr="7A9E088F">
        <w:rPr>
          <w:b/>
          <w:bCs/>
          <w:vertAlign w:val="superscript"/>
        </w:rPr>
        <w:t>th</w:t>
      </w:r>
      <w:r w:rsidRPr="7A9E088F">
        <w:rPr>
          <w:b/>
          <w:bCs/>
        </w:rPr>
        <w:t xml:space="preserve"> Amendment to the U.S. Constitution</w:t>
      </w:r>
    </w:p>
    <w:p w14:paraId="346811C8" w14:textId="77777777" w:rsidR="00E12D32" w:rsidRDefault="00E12D32" w:rsidP="00F52825">
      <w:pPr>
        <w:pStyle w:val="Bulletsl"/>
        <w:numPr>
          <w:ilvl w:val="0"/>
          <w:numId w:val="0"/>
        </w:numPr>
        <w:spacing w:line="276" w:lineRule="auto"/>
        <w:ind w:left="720"/>
      </w:pPr>
      <w:r>
        <w:t xml:space="preserve">No State shall…deny to any person within its jurisdiction the equal protection of the laws.” </w:t>
      </w:r>
    </w:p>
    <w:p w14:paraId="177EFE26" w14:textId="77777777" w:rsidR="00E12D32" w:rsidRPr="003D486D" w:rsidRDefault="00E12D32" w:rsidP="00F52825">
      <w:pPr>
        <w:pStyle w:val="Bulletsl"/>
        <w:spacing w:before="240" w:line="276" w:lineRule="auto"/>
        <w:rPr>
          <w:bCs/>
        </w:rPr>
      </w:pPr>
      <w:r w:rsidRPr="003D486D">
        <w:rPr>
          <w:bCs/>
          <w:i/>
        </w:rPr>
        <w:t>Colegrove v. Green</w:t>
      </w:r>
      <w:r w:rsidRPr="003D486D">
        <w:rPr>
          <w:bCs/>
        </w:rPr>
        <w:t xml:space="preserve"> (1946)</w:t>
      </w:r>
    </w:p>
    <w:p w14:paraId="7DE8BF22" w14:textId="77777777" w:rsidR="00E12D32" w:rsidRDefault="00E12D32" w:rsidP="00F52825">
      <w:pPr>
        <w:pStyle w:val="Bulletsl"/>
        <w:numPr>
          <w:ilvl w:val="0"/>
          <w:numId w:val="0"/>
        </w:numPr>
        <w:spacing w:line="276" w:lineRule="auto"/>
        <w:ind w:left="720"/>
      </w:pPr>
      <w:r>
        <w:t>An Illinois resident sued state officials to prevent them from holding an upcoming election. He argued that the boundaries for congressional districts drawn by the Illinois legislature were irregularly shaped and did not include the same number of people in each. The U.S. Supreme Court was asked to decide whether Illinois’ congressional districts violated constitutional requirements for fair districting.</w:t>
      </w:r>
    </w:p>
    <w:p w14:paraId="64F9788E" w14:textId="77777777" w:rsidR="00E12D32" w:rsidRDefault="00E12D32" w:rsidP="00F52825">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14:paraId="5192CD81" w14:textId="77777777" w:rsidR="00E12D32" w:rsidRPr="00AD63A2" w:rsidRDefault="00E12D32" w:rsidP="00F52825">
      <w:pPr>
        <w:pStyle w:val="Subhead2sl"/>
        <w:keepNext/>
        <w:spacing w:line="276" w:lineRule="auto"/>
      </w:pPr>
      <w:r>
        <w:lastRenderedPageBreak/>
        <w:t>Arguments for Baker (petitioner)</w:t>
      </w:r>
    </w:p>
    <w:p w14:paraId="07E2B99D" w14:textId="77777777" w:rsidR="00E12D32" w:rsidRPr="00E10979" w:rsidRDefault="00E12D32" w:rsidP="00F52825">
      <w:pPr>
        <w:pStyle w:val="Bulletsl"/>
        <w:spacing w:line="276" w:lineRule="auto"/>
      </w:pPr>
      <w:r>
        <w:t>The courts should be able to decide this issue. The text of Article III, section 2 of the U.S. Constitution is clear: “judicial Power shall extend to all Cases, in Law and Equity, arising under this Constitution.” This is an issue that arises under the Constitution because the right of the residents of Tennessee to “equal protection of the law” under the 14</w:t>
      </w:r>
      <w:r w:rsidRPr="7A9E088F">
        <w:rPr>
          <w:vertAlign w:val="superscript"/>
        </w:rPr>
        <w:t>th</w:t>
      </w:r>
      <w:r>
        <w:t xml:space="preserve"> Amendment was in question. </w:t>
      </w:r>
    </w:p>
    <w:p w14:paraId="1FF77728" w14:textId="77777777" w:rsidR="00E12D32" w:rsidRPr="00E10979" w:rsidRDefault="00E12D32" w:rsidP="00F52825">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14:paraId="73A2F911" w14:textId="77777777" w:rsidR="00E12D32" w:rsidRPr="00E10979" w:rsidRDefault="00E12D32" w:rsidP="00F52825">
      <w:pPr>
        <w:pStyle w:val="Bulletsl"/>
        <w:spacing w:line="276" w:lineRule="auto"/>
      </w:pPr>
      <w:r w:rsidRPr="00E10979">
        <w:t>Courts should not follow a long-held practice merely because it is a tradition. There needs to be an important and constitutional reason why the courts should not decide a case.</w:t>
      </w:r>
    </w:p>
    <w:p w14:paraId="4E3A0294" w14:textId="77777777" w:rsidR="00E12D32" w:rsidRPr="00E10979" w:rsidRDefault="00E12D32" w:rsidP="00F52825">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t>the harm</w:t>
      </w:r>
      <w:r w:rsidRPr="00E10979">
        <w:t xml:space="preserve"> that would happen if the situation is not addressed immediately.</w:t>
      </w:r>
    </w:p>
    <w:p w14:paraId="2281B5EB" w14:textId="77777777" w:rsidR="00E12D32" w:rsidRPr="00E10979" w:rsidRDefault="00E12D32" w:rsidP="00F52825">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14:paraId="652CBD27" w14:textId="77777777" w:rsidR="00E12D32" w:rsidRPr="00E10979" w:rsidRDefault="00E12D32" w:rsidP="00F52825">
      <w:pPr>
        <w:pStyle w:val="Subhead2sl"/>
        <w:spacing w:line="276" w:lineRule="auto"/>
      </w:pPr>
      <w:r w:rsidRPr="00E10979">
        <w:t>Arguments for Carr (respondent)</w:t>
      </w:r>
    </w:p>
    <w:p w14:paraId="006177A2" w14:textId="77777777" w:rsidR="00E12D32" w:rsidRDefault="00E12D32" w:rsidP="00F52825">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14:paraId="36373BFF" w14:textId="77777777" w:rsidR="00E12D32" w:rsidRDefault="00E12D32" w:rsidP="00F52825">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14:paraId="00057DAF" w14:textId="77777777" w:rsidR="00E12D32" w:rsidRDefault="00E12D32" w:rsidP="00F52825">
      <w:pPr>
        <w:pStyle w:val="Bulletsl"/>
        <w:spacing w:line="276" w:lineRule="auto"/>
      </w:pPr>
      <w:r>
        <w:t xml:space="preserve">Federal courts have always viewed districting as a uniquely political function that states do not have to carry out in any particular way. </w:t>
      </w:r>
    </w:p>
    <w:p w14:paraId="6DB34E7B" w14:textId="77777777" w:rsidR="00E12D32" w:rsidRDefault="00E12D32" w:rsidP="00F52825">
      <w:pPr>
        <w:pStyle w:val="Bulletsl"/>
        <w:spacing w:line="276" w:lineRule="auto"/>
      </w:pPr>
      <w:r>
        <w:lastRenderedPageBreak/>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14:paraId="12D6AF76" w14:textId="77777777" w:rsidR="00E12D32" w:rsidRDefault="00E12D32" w:rsidP="00F52825">
      <w:pPr>
        <w:pStyle w:val="Bulletsl"/>
        <w:spacing w:line="276" w:lineRule="auto"/>
      </w:pPr>
      <w:r>
        <w:t xml:space="preserve">The courts do not need to interfere with the democratic process. If the residents of Tennessee want to change how their legislature draws the state’s districts, they can encourage their elected officials to make that change through the existing democratic process. </w:t>
      </w:r>
    </w:p>
    <w:p w14:paraId="5115FCFC" w14:textId="77777777" w:rsidR="00E12D32" w:rsidRDefault="00E12D32" w:rsidP="00F52825">
      <w:pPr>
        <w:pStyle w:val="Bulletsl"/>
        <w:numPr>
          <w:ilvl w:val="0"/>
          <w:numId w:val="0"/>
        </w:numPr>
        <w:spacing w:before="480" w:line="276" w:lineRule="auto"/>
      </w:pPr>
      <w:r w:rsidRPr="00B726EB">
        <w:rPr>
          <w:rStyle w:val="Subhead2slChar"/>
        </w:rPr>
        <w:t>Decision</w:t>
      </w:r>
    </w:p>
    <w:p w14:paraId="53973573" w14:textId="680A5FCA" w:rsidR="00E12D32" w:rsidRPr="008F49CE" w:rsidRDefault="00E12D32" w:rsidP="00F52825">
      <w:pPr>
        <w:pStyle w:val="Basiccopysl"/>
        <w:rPr>
          <w:b/>
          <w:bCs/>
          <w:sz w:val="22"/>
          <w:szCs w:val="22"/>
        </w:rPr>
      </w:pPr>
      <w:r>
        <w:t>In a 6</w:t>
      </w:r>
      <w:r w:rsidR="007052C4">
        <w:t>-</w:t>
      </w:r>
      <w:r>
        <w:t xml:space="preserve">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Justices Frankfurter and Harlan dissented. </w:t>
      </w:r>
    </w:p>
    <w:p w14:paraId="6AEA57D0" w14:textId="77777777" w:rsidR="00E12D32" w:rsidRPr="00E10979" w:rsidRDefault="00E12D32" w:rsidP="00F52825">
      <w:pPr>
        <w:pStyle w:val="Subhead3sl"/>
      </w:pPr>
      <w:r w:rsidRPr="00E10979">
        <w:t>Majority</w:t>
      </w:r>
    </w:p>
    <w:p w14:paraId="3B37BB00" w14:textId="77777777" w:rsidR="00E12D32" w:rsidRDefault="00E12D32" w:rsidP="00F52825">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differing populations of legislative districts does not present a “political question” that courts are unable to decide.  </w:t>
      </w:r>
    </w:p>
    <w:p w14:paraId="640DD354" w14:textId="77777777" w:rsidR="00E12D32" w:rsidRDefault="00E12D32" w:rsidP="00F52825">
      <w:pPr>
        <w:pStyle w:val="Basiccopysl"/>
      </w:pPr>
      <w:r>
        <w:t>The Court did not decide whether Tennessee’s districts actually were unconstitutional, however. Instead, the justices instructed the District Court to allow a hearing on the merits of Baker’s claim that the state’s legislative districts violated his 14</w:t>
      </w:r>
      <w:r w:rsidRPr="7A9E088F">
        <w:rPr>
          <w:vertAlign w:val="superscript"/>
        </w:rPr>
        <w:t>th</w:t>
      </w:r>
      <w:r>
        <w:t xml:space="preserve"> Amendment rights. That course established a precedent that dozens of federal courts later followed in allowing disgruntled residents to try to prove that legislative districts are unconstitutionally unbalanced. </w:t>
      </w:r>
    </w:p>
    <w:p w14:paraId="01711FAD" w14:textId="77777777" w:rsidR="00E12D32" w:rsidRPr="00406DC5" w:rsidRDefault="00E12D32" w:rsidP="00F52825">
      <w:pPr>
        <w:pStyle w:val="Subhead3sl"/>
      </w:pPr>
      <w:r w:rsidRPr="00406DC5">
        <w:t>Dissent</w:t>
      </w:r>
      <w:r>
        <w:t>s</w:t>
      </w:r>
    </w:p>
    <w:p w14:paraId="6BD8E15F" w14:textId="77777777" w:rsidR="00E12D32" w:rsidRDefault="00E12D32" w:rsidP="00F52825">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 xml:space="preserve">case was seen as an entirely “different matter from denial of the franchise [right to vote] to individuals because of race, color, religion or sex.” Because they found nothing in the Constitution that would require states to draw </w:t>
      </w:r>
      <w:r>
        <w:lastRenderedPageBreak/>
        <w:t>districts in a particular manner, there was no basis for federal courts to interfere with a political task that the Constitution left to the state legislatures.</w:t>
      </w:r>
    </w:p>
    <w:p w14:paraId="7A4AFC2F" w14:textId="77777777" w:rsidR="00E12D32" w:rsidRDefault="00E12D32" w:rsidP="00F52825">
      <w:pPr>
        <w:pStyle w:val="Basiccopysl"/>
      </w:pPr>
      <w:r>
        <w:t xml:space="preserve">Justice Harlan’s dissent highlighted just how significant the majority decision was. As he noted: </w:t>
      </w:r>
    </w:p>
    <w:p w14:paraId="29B99A6D" w14:textId="77777777" w:rsidR="00E12D32" w:rsidRDefault="00E12D32" w:rsidP="00F52825">
      <w:pPr>
        <w:pStyle w:val="Basiccopysl"/>
        <w:ind w:left="360" w:right="360"/>
      </w:pPr>
      <w:r>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14:paraId="5EFB2617" w14:textId="63F11F23" w:rsidR="0008670F" w:rsidRDefault="0008670F" w:rsidP="0008670F">
      <w:pPr>
        <w:pStyle w:val="Subhead2sl"/>
      </w:pPr>
      <w:r>
        <w:t>Impact</w:t>
      </w:r>
    </w:p>
    <w:p w14:paraId="02FDA146" w14:textId="77777777" w:rsidR="0008670F" w:rsidRPr="0008670F" w:rsidRDefault="0008670F" w:rsidP="0008670F">
      <w:pPr>
        <w:pStyle w:val="NormalWeb"/>
        <w:spacing w:before="0" w:beforeAutospacing="0" w:after="120" w:afterAutospacing="0" w:line="276" w:lineRule="auto"/>
        <w:rPr>
          <w:rFonts w:ascii="Garamond" w:eastAsiaTheme="minorHAnsi" w:hAnsi="Garamond" w:cstheme="minorBidi"/>
          <w:sz w:val="24"/>
          <w:szCs w:val="24"/>
        </w:rPr>
      </w:pPr>
      <w:r w:rsidRPr="0008670F">
        <w:rPr>
          <w:rFonts w:ascii="Garamond" w:eastAsiaTheme="minorHAnsi" w:hAnsi="Garamond" w:cstheme="minorBidi"/>
          <w:sz w:val="24"/>
          <w:szCs w:val="24"/>
        </w:rPr>
        <w:t xml:space="preserve">Following </w:t>
      </w:r>
      <w:r w:rsidRPr="0008670F">
        <w:rPr>
          <w:rFonts w:ascii="Garamond" w:eastAsiaTheme="minorHAnsi" w:hAnsi="Garamond" w:cstheme="minorBidi"/>
          <w:i/>
          <w:iCs/>
          <w:sz w:val="24"/>
          <w:szCs w:val="24"/>
        </w:rPr>
        <w:t>Baker,</w:t>
      </w:r>
      <w:r w:rsidRPr="0008670F">
        <w:rPr>
          <w:rFonts w:ascii="Garamond" w:eastAsiaTheme="minorHAnsi" w:hAnsi="Garamond" w:cstheme="minorBidi"/>
          <w:sz w:val="24"/>
          <w:szCs w:val="24"/>
        </w:rPr>
        <w:t xml:space="preserve"> Tennessee and many other states had to redraw their legislative districts so that their populations were equal. These changes often reflected the growing populations in cities. By 1966, just four years after the Court decided </w:t>
      </w:r>
      <w:r w:rsidRPr="0008670F">
        <w:rPr>
          <w:rFonts w:ascii="Garamond" w:eastAsiaTheme="minorHAnsi" w:hAnsi="Garamond" w:cstheme="minorBidi"/>
          <w:i/>
          <w:iCs/>
          <w:sz w:val="24"/>
          <w:szCs w:val="24"/>
        </w:rPr>
        <w:t>Baker,</w:t>
      </w:r>
      <w:r w:rsidRPr="0008670F">
        <w:rPr>
          <w:rFonts w:ascii="Garamond" w:eastAsiaTheme="minorHAnsi" w:hAnsi="Garamond" w:cstheme="minorBidi"/>
          <w:sz w:val="24"/>
          <w:szCs w:val="24"/>
        </w:rPr>
        <w:t xml:space="preserve"> 46 states had redrawn their legislative districts.</w:t>
      </w:r>
    </w:p>
    <w:p w14:paraId="19AE66A0" w14:textId="77777777" w:rsidR="0008670F" w:rsidRPr="0008670F" w:rsidRDefault="0008670F" w:rsidP="0008670F">
      <w:pPr>
        <w:pStyle w:val="NormalWeb"/>
        <w:spacing w:before="0" w:beforeAutospacing="0" w:after="120" w:afterAutospacing="0" w:line="276" w:lineRule="auto"/>
        <w:rPr>
          <w:rFonts w:ascii="Garamond" w:eastAsiaTheme="minorHAnsi" w:hAnsi="Garamond" w:cstheme="minorBidi"/>
          <w:sz w:val="24"/>
          <w:szCs w:val="24"/>
        </w:rPr>
      </w:pPr>
      <w:r w:rsidRPr="0008670F">
        <w:rPr>
          <w:rFonts w:ascii="Garamond" w:eastAsiaTheme="minorHAnsi" w:hAnsi="Garamond" w:cstheme="minorBidi"/>
          <w:i/>
          <w:iCs/>
          <w:sz w:val="24"/>
          <w:szCs w:val="24"/>
        </w:rPr>
        <w:t>Baker v. Carr</w:t>
      </w:r>
      <w:r w:rsidRPr="0008670F">
        <w:rPr>
          <w:rFonts w:ascii="Garamond" w:eastAsiaTheme="minorHAnsi" w:hAnsi="Garamond" w:cstheme="minorBidi"/>
          <w:sz w:val="24"/>
          <w:szCs w:val="24"/>
        </w:rPr>
        <w:t xml:space="preserve"> was the beginning of a dramatic shift in how the Court approached redistricting. In the years after </w:t>
      </w:r>
      <w:r w:rsidRPr="0008670F">
        <w:rPr>
          <w:rFonts w:ascii="Garamond" w:eastAsiaTheme="minorHAnsi" w:hAnsi="Garamond" w:cstheme="minorBidi"/>
          <w:i/>
          <w:iCs/>
          <w:sz w:val="24"/>
          <w:szCs w:val="24"/>
        </w:rPr>
        <w:t>Baker,</w:t>
      </w:r>
      <w:r w:rsidRPr="0008670F">
        <w:rPr>
          <w:rFonts w:ascii="Garamond" w:eastAsiaTheme="minorHAnsi" w:hAnsi="Garamond" w:cstheme="minorBidi"/>
          <w:sz w:val="24"/>
          <w:szCs w:val="24"/>
        </w:rPr>
        <w:t xml:space="preserve"> the Court continued to revolutionize the way it approached redistricting cases. A series of 1964 cases—</w:t>
      </w:r>
      <w:r w:rsidRPr="0008670F">
        <w:rPr>
          <w:rFonts w:ascii="Garamond" w:eastAsiaTheme="minorHAnsi" w:hAnsi="Garamond" w:cstheme="minorBidi"/>
          <w:i/>
          <w:iCs/>
          <w:sz w:val="24"/>
          <w:szCs w:val="24"/>
        </w:rPr>
        <w:t>Gray v. Sanders, Wesberry v. Sanders,</w:t>
      </w:r>
      <w:r w:rsidRPr="0008670F">
        <w:rPr>
          <w:rFonts w:ascii="Garamond" w:eastAsiaTheme="minorHAnsi" w:hAnsi="Garamond" w:cstheme="minorBidi"/>
          <w:sz w:val="24"/>
          <w:szCs w:val="24"/>
        </w:rPr>
        <w:t xml:space="preserve"> and </w:t>
      </w:r>
      <w:r w:rsidRPr="0008670F">
        <w:rPr>
          <w:rFonts w:ascii="Garamond" w:eastAsiaTheme="minorHAnsi" w:hAnsi="Garamond" w:cstheme="minorBidi"/>
          <w:i/>
          <w:iCs/>
          <w:sz w:val="24"/>
          <w:szCs w:val="24"/>
        </w:rPr>
        <w:t>Reynolds v. Sims</w:t>
      </w:r>
      <w:r w:rsidRPr="0008670F">
        <w:rPr>
          <w:rFonts w:ascii="Garamond" w:eastAsiaTheme="minorHAnsi" w:hAnsi="Garamond" w:cstheme="minorBidi"/>
          <w:sz w:val="24"/>
          <w:szCs w:val="24"/>
        </w:rPr>
        <w:t xml:space="preserve">—built upon the Court’s decision in </w:t>
      </w:r>
      <w:r w:rsidRPr="00C475E6">
        <w:rPr>
          <w:rFonts w:ascii="Garamond" w:eastAsiaTheme="minorHAnsi" w:hAnsi="Garamond" w:cstheme="minorBidi"/>
          <w:i/>
          <w:iCs/>
          <w:sz w:val="24"/>
          <w:szCs w:val="24"/>
        </w:rPr>
        <w:t>Baker</w:t>
      </w:r>
      <w:r w:rsidRPr="0008670F">
        <w:rPr>
          <w:rFonts w:ascii="Garamond" w:eastAsiaTheme="minorHAnsi" w:hAnsi="Garamond" w:cstheme="minorBidi"/>
          <w:sz w:val="24"/>
          <w:szCs w:val="24"/>
        </w:rPr>
        <w:t xml:space="preserve"> to create the “one person, one vote” standard. This refers to the idea that every person’s vote should have the same weight, meaning legislative districts must be drawn so that their populations are about equal.</w:t>
      </w:r>
    </w:p>
    <w:p w14:paraId="3444794D" w14:textId="77777777" w:rsidR="0008670F" w:rsidRDefault="0008670F" w:rsidP="0008670F"/>
    <w:p w14:paraId="2F2A95A4" w14:textId="08CDEC9E" w:rsidR="0008670F" w:rsidRPr="0008670F" w:rsidRDefault="0008670F" w:rsidP="0008670F">
      <w:pPr>
        <w:sectPr w:rsidR="0008670F" w:rsidRPr="0008670F" w:rsidSect="00E12D32">
          <w:headerReference w:type="default" r:id="rId15"/>
          <w:footerReference w:type="default" r:id="rId16"/>
          <w:headerReference w:type="first" r:id="rId17"/>
          <w:footerReference w:type="first" r:id="rId18"/>
          <w:footnotePr>
            <w:numFmt w:val="chicago"/>
          </w:footnotePr>
          <w:pgSz w:w="12240" w:h="15840"/>
          <w:pgMar w:top="1440" w:right="1440" w:bottom="1440" w:left="1440" w:header="720" w:footer="720" w:gutter="0"/>
          <w:cols w:space="720"/>
          <w:titlePg/>
          <w:docGrid w:linePitch="360"/>
        </w:sectPr>
      </w:pPr>
    </w:p>
    <w:p w14:paraId="6EF6A9F7" w14:textId="77777777" w:rsidR="00810E29" w:rsidRPr="00810E29" w:rsidRDefault="00810E29" w:rsidP="00F52825">
      <w:pPr>
        <w:spacing w:after="0" w:line="276" w:lineRule="auto"/>
        <w:rPr>
          <w:sz w:val="12"/>
          <w:szCs w:val="10"/>
        </w:rPr>
      </w:pPr>
    </w:p>
    <w:p w14:paraId="06BA50C5" w14:textId="5F7D8F7D" w:rsidR="00E12D32" w:rsidRPr="000E736C" w:rsidRDefault="00E12D32" w:rsidP="00E07FB2">
      <w:pPr>
        <w:pStyle w:val="Heading1"/>
        <w:rPr>
          <w:color w:val="000000"/>
        </w:rPr>
      </w:pPr>
      <w:bookmarkStart w:id="1" w:name="_Toc80619871"/>
      <w:r w:rsidRPr="000E736C">
        <w:t>Brown</w:t>
      </w:r>
      <w:r w:rsidRPr="000E736C">
        <w:rPr>
          <w:color w:val="000000"/>
        </w:rPr>
        <w:t xml:space="preserve"> v. </w:t>
      </w:r>
      <w:r w:rsidRPr="000E736C">
        <w:t>Board of Education of Topeka</w:t>
      </w:r>
      <w:r>
        <w:t xml:space="preserve"> </w:t>
      </w:r>
      <w:r w:rsidRPr="00E07FB2">
        <w:rPr>
          <w:i w:val="0"/>
          <w:iCs w:val="0"/>
        </w:rPr>
        <w:t>(1954)</w:t>
      </w:r>
      <w:bookmarkEnd w:id="1"/>
    </w:p>
    <w:p w14:paraId="34B93DCE" w14:textId="77777777" w:rsidR="00E12D32" w:rsidRDefault="00E12D32" w:rsidP="00F52825">
      <w:pPr>
        <w:pStyle w:val="Basiccopysl"/>
        <w:jc w:val="center"/>
      </w:pPr>
      <w:r>
        <w:rPr>
          <w:b/>
        </w:rPr>
        <w:t xml:space="preserve">Argued: </w:t>
      </w:r>
      <w:r>
        <w:t>December 9–11, 1952</w:t>
      </w:r>
    </w:p>
    <w:p w14:paraId="4184D011" w14:textId="77777777" w:rsidR="00E12D32" w:rsidRDefault="00E12D32" w:rsidP="00F52825">
      <w:pPr>
        <w:pStyle w:val="Basiccopysl"/>
        <w:jc w:val="center"/>
      </w:pPr>
      <w:r>
        <w:rPr>
          <w:b/>
        </w:rPr>
        <w:t>Reargued</w:t>
      </w:r>
      <w:r>
        <w:t>: December 7–9, 1953</w:t>
      </w:r>
    </w:p>
    <w:p w14:paraId="1F2EF9EA" w14:textId="77777777" w:rsidR="00E12D32" w:rsidRDefault="00E12D32" w:rsidP="00F52825">
      <w:pPr>
        <w:pStyle w:val="Basiccopysl"/>
        <w:jc w:val="center"/>
        <w:rPr>
          <w:b/>
        </w:rPr>
      </w:pPr>
      <w:r>
        <w:rPr>
          <w:b/>
        </w:rPr>
        <w:t>Decided</w:t>
      </w:r>
      <w:r>
        <w:t>: May 17, 1954</w:t>
      </w:r>
    </w:p>
    <w:p w14:paraId="68364266" w14:textId="77777777" w:rsidR="00E12D32" w:rsidRDefault="00E12D32" w:rsidP="00F52825">
      <w:pPr>
        <w:pStyle w:val="Subhead2sl"/>
        <w:spacing w:line="276" w:lineRule="auto"/>
      </w:pPr>
      <w:r>
        <w:t>Background</w:t>
      </w:r>
    </w:p>
    <w:p w14:paraId="049E2C55" w14:textId="77777777" w:rsidR="00E12D32" w:rsidRPr="00520D34" w:rsidRDefault="00E12D32" w:rsidP="00F52825">
      <w:pPr>
        <w:pStyle w:val="Basiccopysl"/>
        <w:rPr>
          <w:rFonts w:eastAsia="Garamond" w:cs="Garamond"/>
          <w:color w:val="222222"/>
        </w:rPr>
      </w:pPr>
      <w:r>
        <w:t>In 1868, t</w:t>
      </w:r>
      <w:r w:rsidRPr="00145DF5">
        <w:t xml:space="preserve">he </w:t>
      </w:r>
      <w:r>
        <w:t>14</w:t>
      </w:r>
      <w:r w:rsidRPr="006D1393">
        <w:rPr>
          <w:vertAlign w:val="superscript"/>
        </w:rPr>
        <w:t>th</w:t>
      </w:r>
      <w:r w:rsidRPr="00145DF5">
        <w:t xml:space="preserve"> Amendment</w:t>
      </w:r>
      <w:r>
        <w:t xml:space="preserve"> to the U.S. Constitution</w:t>
      </w:r>
      <w:r w:rsidRPr="003804C6">
        <w:t xml:space="preserve"> </w:t>
      </w:r>
      <w:r>
        <w:t xml:space="preserve">was ratified in the wake of the Civil War. It </w:t>
      </w:r>
      <w:r w:rsidRPr="003804C6">
        <w:t>says that states must give people equal protection of the laws</w:t>
      </w:r>
      <w:r>
        <w:t xml:space="preserve"> and empowered Congress to pass laws to enforce the provisions of the Amendment</w:t>
      </w:r>
      <w:r w:rsidRPr="003804C6">
        <w:t>.</w:t>
      </w:r>
      <w:r>
        <w:t xml:space="preserve"> Although Congress attempted to outlaw racial segregation in places like hotels and theaters with the Civil Rights Act of 1875, the U.S. Supreme Court ruled that law unconstitutional because it regulated private conduct. A few years later, the Supreme Court affirmed the legality of segregation in public facilities in </w:t>
      </w:r>
      <w:r>
        <w:rPr>
          <w:rFonts w:eastAsia="Garamond" w:cs="Garamond"/>
          <w:color w:val="222222"/>
        </w:rPr>
        <w:t xml:space="preserve">the 1896 </w:t>
      </w:r>
      <w:r w:rsidRPr="001F18C8">
        <w:rPr>
          <w:rFonts w:eastAsia="Garamond" w:cs="Garamond"/>
          <w:i/>
          <w:iCs/>
          <w:color w:val="222222"/>
        </w:rPr>
        <w:t>Plessy v. Ferguson</w:t>
      </w:r>
      <w:r>
        <w:rPr>
          <w:rFonts w:eastAsia="Garamond" w:cs="Garamond"/>
          <w:color w:val="222222"/>
        </w:rPr>
        <w:t xml:space="preserve"> decision</w:t>
      </w:r>
      <w:r>
        <w:rPr>
          <w:rFonts w:eastAsia="Garamond" w:cs="Garamond"/>
          <w:i/>
          <w:color w:val="222222"/>
        </w:rPr>
        <w:t xml:space="preserve">. </w:t>
      </w:r>
      <w:r>
        <w:rPr>
          <w:rFonts w:eastAsia="Garamond" w:cs="Garamond"/>
          <w:color w:val="222222"/>
        </w:rPr>
        <w:t xml:space="preserve">There, the justices said that as long as segregated facilities were of equal quality,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therefore, the justice system could not interfere. “If one race be inferior to the other socially, the constitution of the United States cannot put them on the same plane.” </w:t>
      </w:r>
    </w:p>
    <w:p w14:paraId="43177439" w14:textId="77777777" w:rsidR="00E12D32" w:rsidRDefault="00E12D32" w:rsidP="00F52825">
      <w:pPr>
        <w:pStyle w:val="Basiccopysl"/>
        <w:rPr>
          <w:rFonts w:eastAsia="Garamond" w:cs="Garamond"/>
          <w:color w:val="222222"/>
        </w:rPr>
      </w:pPr>
      <w:r>
        <w:rPr>
          <w:rFonts w:eastAsia="Garamond" w:cs="Garamond"/>
          <w:color w:val="222222"/>
        </w:rPr>
        <w:t>By the 1950s, many public facilities had been segregated by race for decades, including many schools across the country. This case is about whether such racial segregation violates the Equal Protection Clause of the 14</w:t>
      </w:r>
      <w:r w:rsidRPr="001F18C8">
        <w:rPr>
          <w:rFonts w:eastAsia="Garamond" w:cs="Garamond"/>
          <w:color w:val="222222"/>
          <w:vertAlign w:val="superscript"/>
        </w:rPr>
        <w:t>th</w:t>
      </w:r>
      <w:r>
        <w:rPr>
          <w:rFonts w:eastAsia="Garamond" w:cs="Garamond"/>
          <w:color w:val="222222"/>
        </w:rPr>
        <w:t xml:space="preserve"> Amendment. </w:t>
      </w:r>
    </w:p>
    <w:p w14:paraId="75D28326" w14:textId="77777777" w:rsidR="00E12D32" w:rsidRDefault="00E12D32" w:rsidP="00F52825">
      <w:pPr>
        <w:pStyle w:val="Subhead2sl"/>
        <w:spacing w:line="276" w:lineRule="auto"/>
        <w:rPr>
          <w:color w:val="222222"/>
        </w:rPr>
      </w:pPr>
      <w:r>
        <w:t>Facts</w:t>
      </w:r>
    </w:p>
    <w:p w14:paraId="27FE3DD8" w14:textId="77777777" w:rsidR="00E12D32" w:rsidRDefault="00E12D32" w:rsidP="00F52825">
      <w:pPr>
        <w:pStyle w:val="Basiccopysl"/>
      </w:pPr>
      <w:r>
        <w:t>In the early 1950s, Linda Brown was a young African 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14:paraId="5F9756D1" w14:textId="77777777" w:rsidR="00E12D32" w:rsidRDefault="00E12D32" w:rsidP="00F52825">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14:paraId="4BEA777A" w14:textId="77777777" w:rsidR="00E12D32" w:rsidRDefault="00E12D32" w:rsidP="00F52825">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w:t>
      </w:r>
      <w:r w:rsidRPr="001F18C8">
        <w:rPr>
          <w:vertAlign w:val="superscript"/>
        </w:rPr>
        <w:t>th</w:t>
      </w:r>
      <w:r>
        <w:t xml:space="preserve"> Amendment.</w:t>
      </w:r>
    </w:p>
    <w:p w14:paraId="7CF65E34" w14:textId="77777777" w:rsidR="00E12D32" w:rsidRDefault="00E12D32" w:rsidP="00F52825">
      <w:pPr>
        <w:pStyle w:val="Basiccopysl"/>
      </w:pPr>
      <w:r>
        <w:lastRenderedPageBreak/>
        <w:t xml:space="preserve">The federal district court decided that segregation in public education had a detrimental (harmful) effect upon Black children, but the court denied that there was any violation of Brown’s rights because of the </w:t>
      </w:r>
      <w:r w:rsidRPr="000E736C">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w:t>
      </w:r>
      <w:r>
        <w:t xml:space="preserve">it </w:t>
      </w:r>
      <w:r w:rsidRPr="000E736C">
        <w:t>agreed to do so. The Court combined the Brown</w:t>
      </w:r>
      <w:r>
        <w:t xml:space="preserve">’s </w:t>
      </w:r>
      <w:r w:rsidRPr="000E736C">
        <w:t>case with similar cases from South Carolina, Virginia, and Delaware.</w:t>
      </w:r>
    </w:p>
    <w:p w14:paraId="1288FDC2" w14:textId="77777777" w:rsidR="00E12D32" w:rsidRDefault="00E12D32" w:rsidP="00F52825">
      <w:pPr>
        <w:pStyle w:val="Subhead2sl"/>
        <w:spacing w:line="276" w:lineRule="auto"/>
        <w:rPr>
          <w:color w:val="222222"/>
        </w:rPr>
      </w:pPr>
      <w:r>
        <w:t>Issue</w:t>
      </w:r>
    </w:p>
    <w:p w14:paraId="2C7BC189" w14:textId="77777777" w:rsidR="00E12D32" w:rsidRDefault="00E12D32" w:rsidP="00F52825">
      <w:pPr>
        <w:pStyle w:val="Basiccopysl"/>
        <w:rPr>
          <w:color w:val="000000"/>
        </w:rPr>
      </w:pPr>
      <w:r>
        <w:t xml:space="preserve">Does segregation of public schools by race violate the Equal Protection Clause of the </w:t>
      </w:r>
      <w:r>
        <w:rPr>
          <w:color w:val="000000"/>
        </w:rPr>
        <w:t>14</w:t>
      </w:r>
      <w:r w:rsidRPr="001F18C8">
        <w:rPr>
          <w:color w:val="000000"/>
          <w:vertAlign w:val="superscript"/>
        </w:rPr>
        <w:t>th</w:t>
      </w:r>
      <w:r>
        <w:rPr>
          <w:color w:val="000000"/>
        </w:rPr>
        <w:t xml:space="preserve"> Amendment?</w:t>
      </w:r>
    </w:p>
    <w:p w14:paraId="22BC783E" w14:textId="77777777" w:rsidR="00E12D32" w:rsidRDefault="00E12D32" w:rsidP="00F52825">
      <w:pPr>
        <w:pStyle w:val="Subhead2sl"/>
        <w:spacing w:line="276" w:lineRule="auto"/>
      </w:pPr>
      <w:r>
        <w:t>Constitutional Amendment and Supreme Court Precedents</w:t>
      </w:r>
    </w:p>
    <w:p w14:paraId="335DA356" w14:textId="77777777" w:rsidR="00E12D32" w:rsidRPr="000E736C" w:rsidRDefault="00E12D32" w:rsidP="00F52825">
      <w:pPr>
        <w:pStyle w:val="Bulletsl"/>
        <w:spacing w:before="240" w:line="276" w:lineRule="auto"/>
        <w:rPr>
          <w:b/>
        </w:rPr>
      </w:pPr>
      <w:r>
        <w:rPr>
          <w:b/>
        </w:rPr>
        <w:t>14</w:t>
      </w:r>
      <w:r w:rsidRPr="001F18C8">
        <w:rPr>
          <w:b/>
          <w:vertAlign w:val="superscript"/>
        </w:rPr>
        <w:t>th</w:t>
      </w:r>
      <w:r>
        <w:rPr>
          <w:b/>
        </w:rPr>
        <w:t xml:space="preserve"> Amendment to the </w:t>
      </w:r>
      <w:r w:rsidRPr="000E736C">
        <w:rPr>
          <w:b/>
        </w:rPr>
        <w:t>U.S. Constitution</w:t>
      </w:r>
    </w:p>
    <w:p w14:paraId="2A4FF8A7" w14:textId="77777777" w:rsidR="00E12D32" w:rsidRDefault="00E12D32" w:rsidP="00F52825">
      <w:pPr>
        <w:pStyle w:val="Basiccopysl"/>
        <w:ind w:left="720"/>
      </w:pPr>
      <w:r>
        <w:t xml:space="preserve">“No State shall…deny to any person within its jurisdiction the equal protection of the laws.” </w:t>
      </w:r>
    </w:p>
    <w:p w14:paraId="5902F369" w14:textId="77777777" w:rsidR="00E12D32" w:rsidRPr="003D486D" w:rsidRDefault="00E12D32" w:rsidP="00F52825">
      <w:pPr>
        <w:pStyle w:val="Bulletsl"/>
        <w:spacing w:before="240" w:line="276" w:lineRule="auto"/>
        <w:rPr>
          <w:bCs/>
        </w:rPr>
      </w:pPr>
      <w:r w:rsidRPr="003D486D">
        <w:rPr>
          <w:bCs/>
          <w:i/>
        </w:rPr>
        <w:t>Plessy v. Ferguson</w:t>
      </w:r>
      <w:r w:rsidRPr="003D486D">
        <w:rPr>
          <w:bCs/>
        </w:rPr>
        <w:t xml:space="preserve"> (1896)</w:t>
      </w:r>
    </w:p>
    <w:p w14:paraId="6140EDB1" w14:textId="3CBB9CED" w:rsidR="00E12D32" w:rsidRPr="00C83E48" w:rsidRDefault="00E12D32" w:rsidP="00F52825">
      <w:pPr>
        <w:pStyle w:val="Basiccopysl"/>
        <w:ind w:left="720"/>
      </w:pPr>
      <w:r>
        <w:t>A Louisiana law required railroad companies to provide equal but separate facilities for White and Black passengers. A mixed-race customer named Homer Plessy rode in the Whites-only car and was arrested. Plessy argued that the Louisiana law violated the 14</w:t>
      </w:r>
      <w:r w:rsidRPr="001F18C8">
        <w:rPr>
          <w:vertAlign w:val="superscript"/>
        </w:rPr>
        <w:t>th</w:t>
      </w:r>
      <w:r>
        <w:t xml:space="preserve"> Amendment by treating Black passengers as inferior to White passengers. The Supreme Court declared that segregation was legal as long as facilities provided to each race were equal. The justices reasoned that the legal separation of the races did not automatically imply that African Americans were </w:t>
      </w:r>
      <w:r w:rsidR="00462097">
        <w:t>inferior,</w:t>
      </w:r>
      <w:r>
        <w:t xml:space="preserve"> and that legislation and court rulings could not overcome social prejudices. Justice Harlan wrote a strong dissent, arguing that segregation violated the Constitution because it permitted and enforced inequality among people of different races. </w:t>
      </w:r>
    </w:p>
    <w:p w14:paraId="12EB8462" w14:textId="77777777" w:rsidR="00E12D32" w:rsidRPr="003D486D" w:rsidRDefault="00E12D32" w:rsidP="00F52825">
      <w:pPr>
        <w:pStyle w:val="Bulletsl"/>
        <w:spacing w:before="240" w:line="276" w:lineRule="auto"/>
        <w:rPr>
          <w:bCs/>
          <w:i/>
        </w:rPr>
      </w:pPr>
      <w:r w:rsidRPr="003D486D">
        <w:rPr>
          <w:bCs/>
          <w:i/>
        </w:rPr>
        <w:t xml:space="preserve">Sweatt v. Painter </w:t>
      </w:r>
      <w:r w:rsidRPr="003D486D">
        <w:rPr>
          <w:bCs/>
        </w:rPr>
        <w:t>(1950)</w:t>
      </w:r>
    </w:p>
    <w:p w14:paraId="70425859" w14:textId="77777777" w:rsidR="00E12D32" w:rsidRPr="000E736C" w:rsidRDefault="00E12D32" w:rsidP="00F52825">
      <w:pPr>
        <w:pStyle w:val="Basiccopysl"/>
        <w:ind w:left="720"/>
      </w:pPr>
      <w:r>
        <w:t>Herman Sweatt was rejected from the University of Texas School of Law because he was African American. He sued school officials alleging a violation of the 14</w:t>
      </w:r>
      <w:r w:rsidRPr="001F18C8">
        <w:rPr>
          <w:vertAlign w:val="superscript"/>
        </w:rPr>
        <w:t>th</w:t>
      </w:r>
      <w:r>
        <w:t xml:space="preserve"> Amendment. The Supreme Court examined the educational opportunities at the University of Texas School of Law and </w:t>
      </w:r>
      <w:r w:rsidRPr="00EB2885">
        <w:t>the Texas State University for Negroes</w:t>
      </w:r>
      <w:r>
        <w:t>’</w:t>
      </w:r>
      <w:r w:rsidRPr="00EB2885">
        <w:t xml:space="preserve"> </w:t>
      </w:r>
      <w:r>
        <w:t xml:space="preserve">new law school and determined that the facilities, curricula, faculty, and other tangible factors were not equal. Therefore, they ruled that Sweatt’s rights had been violated. In addition to the more straightforward criteria the justices examined at the two schools, they reasoned that other factors, such as the reputation of the faculty and influence of the alumni, could not be equalized. </w:t>
      </w:r>
    </w:p>
    <w:p w14:paraId="3C4449BD" w14:textId="77777777" w:rsidR="00E12D32" w:rsidRDefault="00E12D32" w:rsidP="00F52825">
      <w:pPr>
        <w:pStyle w:val="Subhead2sl"/>
        <w:keepNext/>
        <w:spacing w:line="276" w:lineRule="auto"/>
      </w:pPr>
      <w:r>
        <w:lastRenderedPageBreak/>
        <w:t>Arguments for Brown (petitioner)</w:t>
      </w:r>
    </w:p>
    <w:p w14:paraId="22CDB7CC" w14:textId="77777777" w:rsidR="00E12D32" w:rsidRPr="00157445" w:rsidRDefault="00E12D32" w:rsidP="00F52825">
      <w:pPr>
        <w:pStyle w:val="Bulletsl"/>
        <w:spacing w:line="276" w:lineRule="auto"/>
        <w:rPr>
          <w:rFonts w:ascii="Noto Sans Symbols" w:eastAsia="Noto Sans Symbols" w:hAnsi="Noto Sans Symbols" w:cs="Noto Sans Symbols"/>
          <w:color w:val="000000"/>
        </w:rPr>
      </w:pPr>
      <w:r w:rsidRPr="00157445">
        <w:t>The 14</w:t>
      </w:r>
      <w:r w:rsidRPr="001F18C8">
        <w:rPr>
          <w:vertAlign w:val="superscript"/>
        </w:rPr>
        <w:t>th</w:t>
      </w:r>
      <w:r w:rsidRPr="00157445">
        <w:t xml:space="preserve"> Amendment’s Equal Protection Clause promises equal protection of the laws. That means that states cannot treat people differently based on their race without an extremely good reason. There is not a good reason to keep </w:t>
      </w:r>
      <w:r>
        <w:t>B</w:t>
      </w:r>
      <w:r w:rsidRPr="00157445">
        <w:t xml:space="preserve">lack children and </w:t>
      </w:r>
      <w:r>
        <w:t>W</w:t>
      </w:r>
      <w:r w:rsidRPr="00157445">
        <w:t xml:space="preserve">hite children from attending the same schools. </w:t>
      </w:r>
    </w:p>
    <w:p w14:paraId="4910C24F" w14:textId="77777777" w:rsidR="00E12D32" w:rsidRPr="00157445" w:rsidRDefault="00E12D32" w:rsidP="00F52825">
      <w:pPr>
        <w:pStyle w:val="Bulletsl"/>
        <w:spacing w:line="276" w:lineRule="auto"/>
        <w:rPr>
          <w:rFonts w:ascii="Noto Sans Symbols" w:eastAsia="Noto Sans Symbols" w:hAnsi="Noto Sans Symbols" w:cs="Noto Sans Symbols"/>
          <w:color w:val="000000"/>
        </w:rPr>
      </w:pPr>
      <w:r w:rsidRPr="00157445">
        <w:t xml:space="preserve">Racial segregation in public schools reduces the benefits of education to </w:t>
      </w:r>
      <w:r>
        <w:t>B</w:t>
      </w:r>
      <w:r w:rsidRPr="00157445">
        <w:t xml:space="preserve">lack children, solely based on their race. Schools for </w:t>
      </w:r>
      <w:r>
        <w:t>B</w:t>
      </w:r>
      <w:r w:rsidRPr="00157445">
        <w:t xml:space="preserve">lack children </w:t>
      </w:r>
      <w:r>
        <w:t>are</w:t>
      </w:r>
      <w:r w:rsidRPr="00157445">
        <w:t xml:space="preserve"> often inadequate and ha</w:t>
      </w:r>
      <w:r>
        <w:t>ve</w:t>
      </w:r>
      <w:r w:rsidRPr="00157445">
        <w:t xml:space="preserve"> less money and other resources than </w:t>
      </w:r>
      <w:r>
        <w:t>schools for W</w:t>
      </w:r>
      <w:r w:rsidRPr="00157445">
        <w:t xml:space="preserve">hite </w:t>
      </w:r>
      <w:r>
        <w:t>children</w:t>
      </w:r>
      <w:r w:rsidRPr="00157445">
        <w:t xml:space="preserve">. </w:t>
      </w:r>
    </w:p>
    <w:p w14:paraId="22FB2931" w14:textId="77777777" w:rsidR="00E12D32" w:rsidRPr="00157445" w:rsidRDefault="00E12D32" w:rsidP="00F52825">
      <w:pPr>
        <w:pStyle w:val="Bulletsl"/>
        <w:spacing w:line="276" w:lineRule="auto"/>
        <w:rPr>
          <w:rFonts w:ascii="Noto Sans Symbols" w:eastAsia="Noto Sans Symbols" w:hAnsi="Noto Sans Symbols" w:cs="Noto Sans Symbols"/>
          <w:color w:val="000000"/>
        </w:rPr>
      </w:pPr>
      <w:r w:rsidRPr="00157445">
        <w:t>Even if states were ordered by courts to “equalize” their segregated schools, the problems would not go away. State-sponsored segregation creates and reinforces feelings of superiority among</w:t>
      </w:r>
      <w:r>
        <w:t xml:space="preserve"> W</w:t>
      </w:r>
      <w:r w:rsidRPr="00157445">
        <w:t>hite</w:t>
      </w:r>
      <w:r>
        <w:t xml:space="preserve"> students</w:t>
      </w:r>
      <w:r w:rsidRPr="00157445">
        <w:t xml:space="preserve"> and inferiority among </w:t>
      </w:r>
      <w:r>
        <w:t>B</w:t>
      </w:r>
      <w:r w:rsidRPr="00157445">
        <w:t>lack</w:t>
      </w:r>
      <w:r>
        <w:t xml:space="preserve"> students</w:t>
      </w:r>
      <w:r w:rsidRPr="00157445">
        <w:t>. Segregation places a badge of inferiority on the</w:t>
      </w:r>
      <w:r>
        <w:t xml:space="preserve"> B</w:t>
      </w:r>
      <w:r w:rsidRPr="00157445">
        <w:t>lack students, perpetuates a system of separation beyond school, and gives unequal benefits to</w:t>
      </w:r>
      <w:r>
        <w:t xml:space="preserve"> W</w:t>
      </w:r>
      <w:r w:rsidRPr="00157445">
        <w:t>hite students as a result of their informal contacts with one another. It undermines</w:t>
      </w:r>
      <w:r>
        <w:t xml:space="preserve"> B</w:t>
      </w:r>
      <w:r w:rsidRPr="00157445">
        <w:t>lack students’ motivation to seek educational opportunities and damages identity formation.</w:t>
      </w:r>
    </w:p>
    <w:p w14:paraId="18680423" w14:textId="77777777" w:rsidR="00E12D32" w:rsidRPr="00157445" w:rsidRDefault="00E12D32" w:rsidP="00F52825">
      <w:pPr>
        <w:pStyle w:val="Bulletsl"/>
        <w:spacing w:line="276" w:lineRule="auto"/>
      </w:pPr>
      <w:r w:rsidRPr="00157445">
        <w:t xml:space="preserve">At least two of the high schools in Topeka, Kansas, </w:t>
      </w:r>
      <w:r>
        <w:t xml:space="preserve">were </w:t>
      </w:r>
      <w:r w:rsidRPr="00157445">
        <w:t>already desegregated with no negative effects. The policy should be consistent in all of Topeka’s public primary and secondary schools.</w:t>
      </w:r>
    </w:p>
    <w:p w14:paraId="69736331" w14:textId="77777777" w:rsidR="00E12D32" w:rsidRPr="00157445" w:rsidRDefault="00E12D32" w:rsidP="00F52825">
      <w:pPr>
        <w:pStyle w:val="Bulletsl"/>
        <w:spacing w:line="276" w:lineRule="auto"/>
      </w:pPr>
      <w:r w:rsidRPr="00157445">
        <w:t>Segregation is morally wrong.</w:t>
      </w:r>
    </w:p>
    <w:p w14:paraId="0AB13CA6" w14:textId="77777777" w:rsidR="00E12D32" w:rsidRPr="00157445" w:rsidRDefault="00E12D32" w:rsidP="00F52825">
      <w:pPr>
        <w:pStyle w:val="Subhead2sl"/>
        <w:spacing w:line="276" w:lineRule="auto"/>
      </w:pPr>
      <w:r w:rsidRPr="00157445">
        <w:rPr>
          <w:color w:val="000000"/>
        </w:rPr>
        <w:t xml:space="preserve">Arguments for </w:t>
      </w:r>
      <w:r w:rsidRPr="00157445">
        <w:t>Board of Education</w:t>
      </w:r>
      <w:r>
        <w:t xml:space="preserve"> of Topeka</w:t>
      </w:r>
      <w:r w:rsidRPr="00157445">
        <w:rPr>
          <w:color w:val="000000"/>
        </w:rPr>
        <w:t xml:space="preserve"> </w:t>
      </w:r>
      <w:r>
        <w:rPr>
          <w:color w:val="000000"/>
        </w:rPr>
        <w:t>(respondent)</w:t>
      </w:r>
    </w:p>
    <w:p w14:paraId="4C706AB8" w14:textId="77777777" w:rsidR="00E12D32" w:rsidRPr="00157445" w:rsidRDefault="00E12D32" w:rsidP="00F52825">
      <w:pPr>
        <w:pStyle w:val="Bulletsl"/>
        <w:spacing w:line="276" w:lineRule="auto"/>
      </w:pPr>
      <w:r w:rsidRPr="00157445">
        <w:t>The 14</w:t>
      </w:r>
      <w:r w:rsidRPr="001F18C8">
        <w:rPr>
          <w:vertAlign w:val="superscript"/>
        </w:rPr>
        <w:t>th</w:t>
      </w:r>
      <w:r w:rsidRPr="00157445">
        <w:t xml:space="preserve">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w:t>
      </w:r>
      <w:r>
        <w:t xml:space="preserve"> W</w:t>
      </w:r>
      <w:r w:rsidRPr="00157445">
        <w:t xml:space="preserve">hite students; </w:t>
      </w:r>
      <w:r>
        <w:t>B</w:t>
      </w:r>
      <w:r w:rsidRPr="00157445">
        <w:t>lack students are probably more comfortable learning with other</w:t>
      </w:r>
      <w:r>
        <w:t xml:space="preserve"> B</w:t>
      </w:r>
      <w:r w:rsidRPr="00157445">
        <w:t xml:space="preserve">lack students. These students do not have to attend the same schools to be treated equally under the law; they must simply be given an equal environment for learning. </w:t>
      </w:r>
    </w:p>
    <w:p w14:paraId="0FBAFA73" w14:textId="77777777" w:rsidR="00E12D32" w:rsidRPr="00157445" w:rsidRDefault="00E12D32" w:rsidP="00F52825">
      <w:pPr>
        <w:pStyle w:val="Bulletsl"/>
        <w:spacing w:line="276" w:lineRule="auto"/>
      </w:pPr>
      <w:r w:rsidRPr="00157445">
        <w:t>In Topeka, unlike in</w:t>
      </w:r>
      <w:r w:rsidRPr="00157445">
        <w:rPr>
          <w:i/>
        </w:rPr>
        <w:t xml:space="preserve"> Sweatt v. Painter</w:t>
      </w:r>
      <w:r w:rsidRPr="00157445">
        <w:t xml:space="preserve">, the schools for </w:t>
      </w:r>
      <w:r>
        <w:t>B</w:t>
      </w:r>
      <w:r w:rsidRPr="00157445">
        <w:t xml:space="preserve">lack and </w:t>
      </w:r>
      <w:r>
        <w:t>W</w:t>
      </w:r>
      <w:r w:rsidRPr="00157445">
        <w:t>hite students have similar, equal facilities.</w:t>
      </w:r>
    </w:p>
    <w:p w14:paraId="1326CCF2" w14:textId="77777777" w:rsidR="00E12D32" w:rsidRPr="00157445" w:rsidRDefault="00E12D32" w:rsidP="00F52825">
      <w:pPr>
        <w:pStyle w:val="Bulletsl"/>
        <w:spacing w:line="276" w:lineRule="auto"/>
      </w:pPr>
      <w:r w:rsidRPr="00157445">
        <w:t xml:space="preserve">The United States has a federal system of government that leaves educational decision-making to state and local legislatures. States </w:t>
      </w:r>
      <w:r>
        <w:t xml:space="preserve">and local school boards </w:t>
      </w:r>
      <w:r w:rsidRPr="00157445">
        <w:t>should make decisions about the best environments for school-aged children.</w:t>
      </w:r>
    </w:p>
    <w:p w14:paraId="5291181C" w14:textId="77777777" w:rsidR="00E12D32" w:rsidRPr="00157445" w:rsidRDefault="00E12D32" w:rsidP="00F52825">
      <w:pPr>
        <w:pStyle w:val="Bulletsl"/>
        <w:spacing w:line="276" w:lineRule="auto"/>
      </w:pPr>
      <w:r w:rsidRPr="00157445">
        <w:t xml:space="preserve">Housing and schooling have become interdependent. </w:t>
      </w:r>
      <w:r>
        <w:t xml:space="preserve">Segregated housing has led to and reinforced segregated schools. </w:t>
      </w:r>
      <w:r w:rsidRPr="00157445">
        <w:t xml:space="preserve">Students might need to travel far away from their local school to attend an integrated school. This places a heavy burden on local government to deal with the changes. </w:t>
      </w:r>
    </w:p>
    <w:p w14:paraId="2356CCDB" w14:textId="77777777" w:rsidR="00E12D32" w:rsidRDefault="00E12D32" w:rsidP="00F52825">
      <w:pPr>
        <w:pStyle w:val="Subhead2sl"/>
        <w:spacing w:line="276" w:lineRule="auto"/>
      </w:pPr>
      <w:r>
        <w:lastRenderedPageBreak/>
        <w:t>Decision</w:t>
      </w:r>
    </w:p>
    <w:p w14:paraId="53FDA980" w14:textId="77777777" w:rsidR="00E12D32" w:rsidRPr="00C83E48" w:rsidRDefault="00E12D32" w:rsidP="00F52825">
      <w:pPr>
        <w:pStyle w:val="Basiccopysl"/>
      </w:pPr>
      <w:r w:rsidRPr="00C83E48">
        <w:t>The Supreme Court ruled for Linda Brown and the other students</w:t>
      </w:r>
      <w:r>
        <w:t xml:space="preserve">; </w:t>
      </w:r>
      <w:r w:rsidRPr="00C83E48">
        <w:t xml:space="preserve">the decision was unanimous. Chief Justice Earl Warren delivered the opinion of the Court, ruling that segregation in public schools violates the </w:t>
      </w:r>
      <w:r>
        <w:t>14</w:t>
      </w:r>
      <w:r w:rsidRPr="001F18C8">
        <w:rPr>
          <w:vertAlign w:val="superscript"/>
        </w:rPr>
        <w:t>th</w:t>
      </w:r>
      <w:r w:rsidRPr="00C83E48">
        <w:t xml:space="preserve"> Amendment’s Equal Protection Clause. </w:t>
      </w:r>
    </w:p>
    <w:p w14:paraId="455C7954" w14:textId="77777777" w:rsidR="00E12D32" w:rsidRPr="00C83E48" w:rsidRDefault="00E12D32" w:rsidP="00F52825">
      <w:pPr>
        <w:pStyle w:val="Basiccopysl"/>
        <w:rPr>
          <w:rFonts w:cs="Times New Roman"/>
          <w:color w:val="222222"/>
        </w:rPr>
      </w:pPr>
      <w:r w:rsidRPr="00C83E48">
        <w:rPr>
          <w:rFonts w:cs="Times New Roman"/>
          <w:color w:val="222222"/>
        </w:rPr>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14:paraId="07A75F97" w14:textId="77777777" w:rsidR="00E12D32" w:rsidRPr="00C83E48" w:rsidRDefault="00E12D32" w:rsidP="00F52825">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 xml:space="preserve">the facilities that the Board of Education of Topeka provided for the education of </w:t>
      </w:r>
      <w:r>
        <w:rPr>
          <w:rFonts w:cs="Times New Roman"/>
          <w:color w:val="222222"/>
        </w:rPr>
        <w:t>Black</w:t>
      </w:r>
      <w:r w:rsidRPr="00C83E48">
        <w:rPr>
          <w:rFonts w:cs="Times New Roman"/>
          <w:color w:val="222222"/>
        </w:rPr>
        <w:t xml:space="preserve"> children against those provided for </w:t>
      </w:r>
      <w:r>
        <w:rPr>
          <w:rFonts w:cs="Times New Roman"/>
          <w:color w:val="222222"/>
        </w:rPr>
        <w:t>W</w:t>
      </w:r>
      <w:r w:rsidRPr="00C83E48">
        <w:rPr>
          <w:rFonts w:cs="Times New Roman"/>
          <w:color w:val="222222"/>
        </w:rPr>
        <w:t>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 xml:space="preserve"> </w:t>
      </w:r>
      <w:r w:rsidRPr="00C83E48">
        <w:rPr>
          <w:rFonts w:cs="Times New Roman"/>
          <w:color w:val="222222"/>
        </w:rPr>
        <w:t>American children.</w:t>
      </w:r>
      <w:r>
        <w:rPr>
          <w:rFonts w:cs="Times New Roman"/>
          <w:color w:val="222222"/>
        </w:rPr>
        <w:t xml:space="preserve"> </w:t>
      </w:r>
      <w:r w:rsidRPr="00C83E48">
        <w:rPr>
          <w:rFonts w:cs="Times New Roman"/>
          <w:color w:val="222222"/>
        </w:rPr>
        <w:t xml:space="preserve">Segregating children in public education created and perpetuated the idea that </w:t>
      </w:r>
      <w:r>
        <w:rPr>
          <w:rFonts w:cs="Times New Roman"/>
          <w:color w:val="222222"/>
        </w:rPr>
        <w:t>Black</w:t>
      </w:r>
      <w:r w:rsidRPr="00C83E48">
        <w:rPr>
          <w:rFonts w:cs="Times New Roman"/>
          <w:color w:val="222222"/>
        </w:rPr>
        <w:t xml:space="preserve"> children held a lower status in the community than </w:t>
      </w:r>
      <w:r>
        <w:rPr>
          <w:rFonts w:cs="Times New Roman"/>
          <w:color w:val="222222"/>
        </w:rPr>
        <w:t>W</w:t>
      </w:r>
      <w:r w:rsidRPr="00C83E48">
        <w:rPr>
          <w:rFonts w:cs="Times New Roman"/>
          <w:color w:val="222222"/>
        </w:rPr>
        <w:t>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w:t>
      </w:r>
      <w:r>
        <w:t>,</w:t>
      </w:r>
      <w:r w:rsidRPr="00C83E48">
        <w:t xml:space="preserve"> i</w:t>
      </w:r>
      <w:r>
        <w:t>n many ways, it echoed aspects of Justice Harlan’s</w:t>
      </w:r>
      <w:r w:rsidRPr="00C83E48">
        <w:t xml:space="preserve"> dissent in that earlier case. </w:t>
      </w:r>
    </w:p>
    <w:p w14:paraId="3B0ACFB0" w14:textId="77777777" w:rsidR="00E12D32" w:rsidRDefault="00E12D32" w:rsidP="00F52825">
      <w:pPr>
        <w:pStyle w:val="Subhead2sl"/>
        <w:spacing w:line="276" w:lineRule="auto"/>
        <w:rPr>
          <w:color w:val="222222"/>
        </w:rPr>
      </w:pPr>
      <w:r>
        <w:t>Impact</w:t>
      </w:r>
    </w:p>
    <w:p w14:paraId="28CE76BE" w14:textId="77777777" w:rsidR="00E12D32" w:rsidRDefault="00E12D32" w:rsidP="00F52825">
      <w:pPr>
        <w:spacing w:after="120" w:line="276" w:lineRule="auto"/>
      </w:pPr>
      <w:r>
        <w:rPr>
          <w:i/>
          <w:iCs/>
        </w:rPr>
        <w:t>Brown v. Board of Education</w:t>
      </w:r>
      <w:r>
        <w:t xml:space="preserve"> </w:t>
      </w:r>
      <w:r w:rsidRPr="00355684">
        <w:rPr>
          <w:i/>
          <w:iCs/>
        </w:rPr>
        <w:t>of Topeka</w:t>
      </w:r>
      <w:r>
        <w:t xml:space="preserve"> was a single decision signed by all nine Justices. The Court acknowledged the importance and potential controversy of this decision, so they acted uniformly to try to lessen dissent in society. The decision that ordered the desegregation of public schools was praised by many Americans who supported the civil rights movement. </w:t>
      </w:r>
    </w:p>
    <w:p w14:paraId="13AE2EC4" w14:textId="77777777" w:rsidR="00E12D32" w:rsidRDefault="00E12D32" w:rsidP="00F52825">
      <w:pPr>
        <w:pStyle w:val="Basiccopysl"/>
        <w:rPr>
          <w:rFonts w:cs="Times New Roman"/>
          <w:color w:val="222222"/>
        </w:rPr>
      </w:pPr>
      <w:r w:rsidRPr="00C83E48">
        <w:rPr>
          <w:rFonts w:cs="Times New Roman"/>
          <w:color w:val="222222"/>
        </w:rPr>
        <w:t xml:space="preserve">One year </w:t>
      </w:r>
      <w:r>
        <w:rPr>
          <w:rFonts w:cs="Times New Roman"/>
          <w:color w:val="222222"/>
        </w:rPr>
        <w:t>after the decision</w:t>
      </w:r>
      <w:r w:rsidRPr="00C83E48">
        <w:rPr>
          <w:rFonts w:cs="Times New Roman"/>
          <w:color w:val="222222"/>
        </w:rPr>
        <w:t xml:space="preserve">, the Court addressed the implementation of its decision in a case known as </w:t>
      </w:r>
      <w:r w:rsidRPr="00C83E48">
        <w:rPr>
          <w:rFonts w:cs="Times New Roman"/>
          <w:i/>
          <w:color w:val="222222"/>
        </w:rPr>
        <w:t>Brown v. Board of Education</w:t>
      </w:r>
      <w:r>
        <w:rPr>
          <w:rFonts w:cs="Times New Roman"/>
          <w:i/>
          <w:color w:val="222222"/>
        </w:rPr>
        <w:t xml:space="preserve"> of Topeka</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 xml:space="preserve">Chief Justice Warren once again wrote an opinion for the unanimous </w:t>
      </w:r>
      <w:r>
        <w:rPr>
          <w:rFonts w:cs="Times New Roman"/>
          <w:color w:val="222222"/>
        </w:rPr>
        <w:t>C</w:t>
      </w:r>
      <w:r w:rsidRPr="00C83E48">
        <w:rPr>
          <w:rFonts w:cs="Times New Roman"/>
          <w:color w:val="222222"/>
        </w:rPr>
        <w:t>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14:paraId="1C44E395" w14:textId="77777777" w:rsidR="00E12D32" w:rsidRDefault="00E12D32" w:rsidP="00F52825">
      <w:pPr>
        <w:pStyle w:val="Basiccopysl"/>
        <w:rPr>
          <w:rFonts w:cs="Times New Roman"/>
          <w:color w:val="222222"/>
        </w:rPr>
      </w:pPr>
      <w:r>
        <w:rPr>
          <w:rFonts w:cs="Times New Roman"/>
          <w:color w:val="222222"/>
        </w:rPr>
        <w:lastRenderedPageBreak/>
        <w:t xml:space="preserve">That language proved unfortunate, as it gave the Southern states an incentive to delay compliance with the Court’s mandate. </w:t>
      </w:r>
    </w:p>
    <w:p w14:paraId="19DB7E75" w14:textId="77777777" w:rsidR="00E12D32" w:rsidRDefault="00E12D32" w:rsidP="00F52825">
      <w:pPr>
        <w:spacing w:after="120" w:line="276" w:lineRule="auto"/>
      </w:pPr>
      <w:r>
        <w:t>Many White people fought the implementation of the decision. In Little Rock, Arkansas, the school board agreed to desegregate its schools. But when nine African American students tried to enter Little Rock Central High School, those who still supported segregation, along with the Arkansas National Guard, physically blocked the African American students from entering the school. President Eisenhower quickly deployed the U.S. Army to enforce the integration decision by providing an armed escort to the African American students.</w:t>
      </w:r>
    </w:p>
    <w:p w14:paraId="148F123E" w14:textId="77777777" w:rsidR="00E12D32" w:rsidRDefault="00E12D32" w:rsidP="00F52825">
      <w:pPr>
        <w:pStyle w:val="Basiccopysl"/>
        <w:rPr>
          <w:rFonts w:cs="Times New Roman"/>
          <w:color w:val="222222"/>
        </w:rPr>
      </w:pPr>
      <w:r>
        <w:rPr>
          <w:rFonts w:cs="Times New Roman"/>
          <w:color w:val="222222"/>
        </w:rPr>
        <w:t xml:space="preserve">Resistance to integration led to further litigation.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the Court stated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14:paraId="4FBB8FCB" w14:textId="77777777" w:rsidR="00E12D32" w:rsidRDefault="00E12D32" w:rsidP="00F52825">
      <w:pPr>
        <w:pStyle w:val="Basiccopysl"/>
        <w:spacing w:after="480"/>
        <w:rPr>
          <w:rFonts w:cs="Times New Roman"/>
          <w:color w:val="222222"/>
        </w:rPr>
      </w:pPr>
      <w:r>
        <w:rPr>
          <w:rFonts w:cs="Times New Roman"/>
          <w:color w:val="222222"/>
        </w:rPr>
        <w:t>Today all segregation by law (</w:t>
      </w:r>
      <w:r w:rsidRPr="00785AAD">
        <w:rPr>
          <w:rFonts w:cs="Times New Roman"/>
          <w:i/>
          <w:iCs/>
          <w:color w:val="222222"/>
        </w:rPr>
        <w:t>de jure</w:t>
      </w:r>
      <w:r>
        <w:rPr>
          <w:rFonts w:cs="Times New Roman"/>
          <w:color w:val="222222"/>
        </w:rPr>
        <w:t xml:space="preserve"> segregation) in public education is unconstitutional. However, many schools are still largely made up of students from a single racial or ethnic group because enrollment is assigned based on neighborhoods. This is call </w:t>
      </w:r>
      <w:r w:rsidRPr="00785AAD">
        <w:rPr>
          <w:rFonts w:cs="Times New Roman"/>
          <w:i/>
          <w:iCs/>
          <w:color w:val="222222"/>
        </w:rPr>
        <w:t>de facto</w:t>
      </w:r>
      <w:r>
        <w:rPr>
          <w:rFonts w:cs="Times New Roman"/>
          <w:color w:val="222222"/>
        </w:rPr>
        <w:t xml:space="preserve"> segregation because it occurs in practice without a law mandating it. </w:t>
      </w:r>
    </w:p>
    <w:tbl>
      <w:tblPr>
        <w:tblStyle w:val="TableGrid"/>
        <w:tblW w:w="0" w:type="auto"/>
        <w:tblLook w:val="04A0" w:firstRow="1" w:lastRow="0" w:firstColumn="1" w:lastColumn="0" w:noHBand="0" w:noVBand="1"/>
      </w:tblPr>
      <w:tblGrid>
        <w:gridCol w:w="9350"/>
      </w:tblGrid>
      <w:tr w:rsidR="00E12D32" w14:paraId="561778B0" w14:textId="77777777" w:rsidTr="00E12D32">
        <w:tc>
          <w:tcPr>
            <w:tcW w:w="9350" w:type="dxa"/>
            <w:shd w:val="clear" w:color="auto" w:fill="F2F2F2" w:themeFill="background1" w:themeFillShade="F2"/>
          </w:tcPr>
          <w:p w14:paraId="28155981" w14:textId="77777777" w:rsidR="00E12D32" w:rsidRDefault="00E12D32" w:rsidP="00F52825">
            <w:pPr>
              <w:pStyle w:val="Basiccopysl"/>
              <w:spacing w:before="120"/>
              <w:rPr>
                <w:rFonts w:cs="Arial"/>
                <w:color w:val="222222"/>
                <w:shd w:val="clear" w:color="auto" w:fill="FFFFFF"/>
              </w:rPr>
            </w:pPr>
            <w:r>
              <w:t xml:space="preserve">Additional information about </w:t>
            </w:r>
            <w:r w:rsidRPr="003D486D">
              <w:rPr>
                <w:i/>
                <w:iCs/>
              </w:rPr>
              <w:t>Brown v. Board of Education of Topeka,</w:t>
            </w:r>
            <w:r>
              <w:t xml:space="preserve"> including background at three reading levels, opinion quotes and summaries, teaching activities, and additional resources, can be found at </w:t>
            </w:r>
            <w:hyperlink r:id="rId19" w:history="1">
              <w:r w:rsidRPr="7039B853">
                <w:rPr>
                  <w:rStyle w:val="Hyperlink"/>
                  <w:color w:val="auto"/>
                </w:rPr>
                <w:t>https://www.landmarkcases.org/</w:t>
              </w:r>
            </w:hyperlink>
            <w:r>
              <w:t>.</w:t>
            </w:r>
          </w:p>
        </w:tc>
      </w:tr>
    </w:tbl>
    <w:p w14:paraId="3A9BBD2C" w14:textId="77777777" w:rsidR="00E12D32" w:rsidRDefault="00E12D32" w:rsidP="00F52825">
      <w:pPr>
        <w:pStyle w:val="Subhead2sl"/>
        <w:spacing w:before="120" w:line="276" w:lineRule="auto"/>
        <w:rPr>
          <w:color w:val="222222"/>
        </w:rPr>
        <w:sectPr w:rsidR="00E12D32" w:rsidSect="00F42CDF">
          <w:headerReference w:type="default" r:id="rId20"/>
          <w:footerReference w:type="default" r:id="rId21"/>
          <w:headerReference w:type="first" r:id="rId22"/>
          <w:footerReference w:type="first" r:id="rId23"/>
          <w:footnotePr>
            <w:numFmt w:val="chicago"/>
          </w:footnotePr>
          <w:pgSz w:w="12240" w:h="15840"/>
          <w:pgMar w:top="1440" w:right="1440" w:bottom="1440" w:left="1440" w:header="720" w:footer="720" w:gutter="0"/>
          <w:cols w:space="720"/>
          <w:titlePg/>
          <w:docGrid w:linePitch="360"/>
        </w:sectPr>
      </w:pPr>
    </w:p>
    <w:p w14:paraId="48D8250A" w14:textId="77777777" w:rsidR="00810E29" w:rsidRPr="00810E29" w:rsidRDefault="00810E29" w:rsidP="00F52825">
      <w:pPr>
        <w:spacing w:after="0" w:line="276" w:lineRule="auto"/>
        <w:rPr>
          <w:sz w:val="12"/>
          <w:szCs w:val="10"/>
        </w:rPr>
      </w:pPr>
    </w:p>
    <w:p w14:paraId="590F17D9" w14:textId="2063A274" w:rsidR="00E12D32" w:rsidRPr="00330C55" w:rsidRDefault="00E12D32" w:rsidP="00E07FB2">
      <w:pPr>
        <w:pStyle w:val="Heading1"/>
      </w:pPr>
      <w:bookmarkStart w:id="2" w:name="_Toc80619872"/>
      <w:r w:rsidRPr="00810E29">
        <w:t>Citizens United v. FEC</w:t>
      </w:r>
      <w:r w:rsidRPr="00E07FB2">
        <w:rPr>
          <w:i w:val="0"/>
          <w:iCs w:val="0"/>
        </w:rPr>
        <w:t xml:space="preserve"> (2010)</w:t>
      </w:r>
      <w:bookmarkEnd w:id="2"/>
    </w:p>
    <w:p w14:paraId="3312CDD4" w14:textId="77777777" w:rsidR="00E12D32" w:rsidRDefault="00E12D32" w:rsidP="00F52825">
      <w:pPr>
        <w:pStyle w:val="Basiccopysl"/>
        <w:jc w:val="center"/>
      </w:pPr>
      <w:r w:rsidRPr="006C1853">
        <w:rPr>
          <w:b/>
        </w:rPr>
        <w:t>Argued</w:t>
      </w:r>
      <w:r>
        <w:rPr>
          <w:b/>
        </w:rPr>
        <w:t>:</w:t>
      </w:r>
      <w:r w:rsidRPr="00410580">
        <w:t xml:space="preserve"> </w:t>
      </w:r>
      <w:r>
        <w:t>March 24, 2009</w:t>
      </w:r>
    </w:p>
    <w:p w14:paraId="736F0A5D" w14:textId="77777777" w:rsidR="00E12D32" w:rsidRDefault="00E12D32" w:rsidP="00F52825">
      <w:pPr>
        <w:pStyle w:val="Basiccopysl"/>
        <w:jc w:val="center"/>
      </w:pPr>
      <w:r>
        <w:rPr>
          <w:b/>
        </w:rPr>
        <w:t>Re</w:t>
      </w:r>
      <w:r w:rsidRPr="006C1853">
        <w:rPr>
          <w:b/>
        </w:rPr>
        <w:t>argued:</w:t>
      </w:r>
      <w:r>
        <w:t xml:space="preserve"> September 9, 2009</w:t>
      </w:r>
    </w:p>
    <w:p w14:paraId="05ED9583" w14:textId="77777777" w:rsidR="00E12D32" w:rsidRDefault="00E12D32" w:rsidP="00F52825">
      <w:pPr>
        <w:pStyle w:val="Basiccopysl"/>
        <w:jc w:val="center"/>
        <w:rPr>
          <w:b/>
        </w:rPr>
      </w:pPr>
      <w:r w:rsidRPr="006C1853">
        <w:rPr>
          <w:b/>
        </w:rPr>
        <w:t>Decided:</w:t>
      </w:r>
      <w:r>
        <w:t xml:space="preserve"> January 21, 2010</w:t>
      </w:r>
    </w:p>
    <w:p w14:paraId="068D82A8" w14:textId="77777777" w:rsidR="00E12D32" w:rsidRPr="000C29C6" w:rsidRDefault="00E12D32" w:rsidP="00F52825">
      <w:pPr>
        <w:pStyle w:val="Subhead2sl"/>
        <w:spacing w:line="276" w:lineRule="auto"/>
      </w:pPr>
      <w:r w:rsidRPr="006C1853">
        <w:t>Background</w:t>
      </w:r>
      <w:r w:rsidRPr="000C29C6">
        <w:t xml:space="preserve"> </w:t>
      </w:r>
    </w:p>
    <w:p w14:paraId="7DDA261E" w14:textId="77777777" w:rsidR="00E12D32" w:rsidRPr="00330C55" w:rsidRDefault="00E12D32" w:rsidP="00F52825">
      <w:pPr>
        <w:pStyle w:val="Basiccopysl"/>
      </w:pPr>
      <w:r w:rsidRPr="00330C55">
        <w:t>Each election cycle</w:t>
      </w:r>
      <w:r>
        <w:t>,</w:t>
      </w:r>
      <w:r w:rsidRPr="00330C55">
        <w:t xml:space="preserv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 xml:space="preserve">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w:t>
      </w:r>
      <w:r>
        <w:t>who support</w:t>
      </w:r>
      <w:r w:rsidRPr="00330C55">
        <w:t xml:space="preserve"> more spending</w:t>
      </w:r>
      <w:r>
        <w:t xml:space="preserve"> </w:t>
      </w:r>
      <w:r w:rsidRPr="00330C55">
        <w:t xml:space="preserve">say that giving and spending money on elections is a basic form of political speech protected by the First Amendment. </w:t>
      </w:r>
    </w:p>
    <w:p w14:paraId="34F54ADB" w14:textId="62040A48" w:rsidR="00E12D32" w:rsidRDefault="00E12D32" w:rsidP="00F52825">
      <w:pPr>
        <w:pStyle w:val="Basiccopysl"/>
      </w:pPr>
      <w:r w:rsidRPr="00330C55">
        <w:t xml:space="preserve">Over the past 100 years, Congress has attempted to set some limits on campaign fundraising in order to reduce corruption or anything that can be perceived as corruption. </w:t>
      </w:r>
      <w:r>
        <w:t xml:space="preserve">Many of these laws have </w:t>
      </w:r>
      <w:r w:rsidR="00462097">
        <w:t>been</w:t>
      </w:r>
      <w:r>
        <w:t xml:space="preserve"> challenged at the Supreme Court.</w:t>
      </w:r>
    </w:p>
    <w:p w14:paraId="41457412" w14:textId="77777777" w:rsidR="00E12D32" w:rsidRPr="00330C55" w:rsidRDefault="00E12D32" w:rsidP="00F52825">
      <w:pPr>
        <w:pStyle w:val="Basiccopysl"/>
      </w:pPr>
      <w:r>
        <w:t xml:space="preserve">In </w:t>
      </w:r>
      <w:r w:rsidRPr="003E484D">
        <w:rPr>
          <w:i/>
          <w:iCs/>
        </w:rPr>
        <w:t>Buckley v. Valeo</w:t>
      </w:r>
      <w:r>
        <w:t xml:space="preserve"> (1976), t</w:t>
      </w:r>
      <w:r w:rsidRPr="00330C55">
        <w:t>he Supreme Court</w:t>
      </w:r>
      <w:r>
        <w:t xml:space="preserve"> </w:t>
      </w:r>
      <w:r w:rsidRPr="00330C55">
        <w:t>decided that both donating and spending money on elections is a form of</w:t>
      </w:r>
      <w:r>
        <w:t xml:space="preserve"> political</w:t>
      </w:r>
      <w:r w:rsidRPr="00330C55">
        <w:t xml:space="preserve"> speech. For candidates, the money pays for ways to share</w:t>
      </w:r>
      <w:r>
        <w:t xml:space="preserve"> their </w:t>
      </w:r>
      <w:r w:rsidRPr="00330C55">
        <w:t>views with the electorate</w:t>
      </w:r>
      <w:r>
        <w:t>—</w:t>
      </w:r>
      <w:r w:rsidRPr="00330C55">
        <w:t xml:space="preserve">through advertisements, mail and email, and travel to give speeches. For donors, giving money to a candidate is a way to express </w:t>
      </w:r>
      <w:r>
        <w:t>support for the candidate’s political views</w:t>
      </w:r>
      <w:r w:rsidRPr="00330C55">
        <w:t>. Therefore, any law that limits donating or spending money on elections limits free speech, and the government must have a very good reason</w:t>
      </w:r>
      <w:r>
        <w:t xml:space="preserve"> </w:t>
      </w:r>
      <w:r w:rsidRPr="00330C55">
        <w:t xml:space="preserve">for making such laws. </w:t>
      </w:r>
    </w:p>
    <w:p w14:paraId="2082BF71" w14:textId="77777777" w:rsidR="00E12D32" w:rsidRPr="00330C55" w:rsidRDefault="00E12D32" w:rsidP="00F52825">
      <w:pPr>
        <w:pStyle w:val="Basiccopysl"/>
      </w:pPr>
      <w:r>
        <w:t xml:space="preserve">In </w:t>
      </w:r>
      <w:r w:rsidRPr="00B26726">
        <w:rPr>
          <w:i/>
          <w:iCs/>
        </w:rPr>
        <w:t>Buckley</w:t>
      </w:r>
      <w:r>
        <w:t>, t</w:t>
      </w:r>
      <w:r w:rsidRPr="00330C55">
        <w:t xml:space="preserve">he Supreme Court </w:t>
      </w:r>
      <w:r>
        <w:t xml:space="preserve">also </w:t>
      </w:r>
      <w:r w:rsidRPr="00330C55">
        <w:t xml:space="preserve">ruled that laws </w:t>
      </w:r>
      <w:r>
        <w:t>restricting</w:t>
      </w:r>
      <w:r w:rsidRPr="00330C55">
        <w:t xml:space="preserve"> how much </w:t>
      </w:r>
      <w:r>
        <w:t xml:space="preserve">a </w:t>
      </w:r>
      <w:r w:rsidRPr="00D91092">
        <w:t>candidate can spend</w:t>
      </w:r>
      <w:r w:rsidRPr="00330C55">
        <w:t xml:space="preserve"> on</w:t>
      </w:r>
      <w:r>
        <w:t xml:space="preserve"> their own</w:t>
      </w:r>
      <w:r w:rsidRPr="00330C55">
        <w:t xml:space="preserve"> campaign are unconstitutional</w:t>
      </w:r>
      <w:r>
        <w:t xml:space="preserve">. They reasoned that when </w:t>
      </w:r>
      <w:r w:rsidRPr="00330C55">
        <w:t>candidates spend</w:t>
      </w:r>
      <w:r>
        <w:t xml:space="preserve"> their own</w:t>
      </w:r>
      <w:r w:rsidRPr="00330C55">
        <w:t xml:space="preserve"> money to get their message out</w:t>
      </w:r>
      <w:r>
        <w:t>, there is no risk of corruption</w:t>
      </w:r>
      <w:r w:rsidRPr="00330C55">
        <w:t xml:space="preserve">. However, the Court </w:t>
      </w:r>
      <w:r>
        <w:t xml:space="preserve">found that </w:t>
      </w:r>
      <w:r w:rsidRPr="00330C55">
        <w:t>laws</w:t>
      </w:r>
      <w:r>
        <w:t xml:space="preserve"> </w:t>
      </w:r>
      <w:r w:rsidRPr="00330C55">
        <w:t>restrict</w:t>
      </w:r>
      <w:r>
        <w:t>ing</w:t>
      </w:r>
      <w:r w:rsidRPr="00330C55">
        <w:t xml:space="preserve"> how much </w:t>
      </w:r>
      <w:r w:rsidRPr="00D91092">
        <w:t>individuals and groups can donate</w:t>
      </w:r>
      <w:r w:rsidRPr="00330C55">
        <w:t xml:space="preserve"> directly to candidates are allowed because that spending is </w:t>
      </w:r>
      <w:r>
        <w:t>slightly removed from the donor’s own political speech, and such direct contributions to candidates pose a greater risk of corrupt influences.</w:t>
      </w:r>
      <w:r w:rsidRPr="00330C55" w:rsidDel="00CB5B15">
        <w:t xml:space="preserve"> </w:t>
      </w:r>
      <w:r>
        <w:t xml:space="preserve">These direct contribution limits are still in place. </w:t>
      </w:r>
      <w:r w:rsidRPr="00330C55">
        <w:t>In 20</w:t>
      </w:r>
      <w:r>
        <w:t>20</w:t>
      </w:r>
      <w:r w:rsidRPr="00330C55">
        <w:t>, the maximum amount an individual could give directly to a federal candidate was $2,</w:t>
      </w:r>
      <w:r>
        <w:t>8</w:t>
      </w:r>
      <w:r w:rsidRPr="00330C55">
        <w:t xml:space="preserve">00. </w:t>
      </w:r>
    </w:p>
    <w:p w14:paraId="52F710EA" w14:textId="77777777" w:rsidR="00E12D32" w:rsidRPr="00330C55" w:rsidRDefault="00E12D32" w:rsidP="00F52825">
      <w:pPr>
        <w:spacing w:after="120" w:line="276" w:lineRule="auto"/>
      </w:pPr>
      <w:r w:rsidRPr="00330C55">
        <w:t>This case, however, is not about</w:t>
      </w:r>
      <w:r>
        <w:t xml:space="preserve"> either candidate spending or</w:t>
      </w:r>
      <w:r w:rsidRPr="00330C55">
        <w:t xml:space="preserve"> direct donations to candidates.</w:t>
      </w:r>
      <w:r>
        <w:t xml:space="preserve"> It involves </w:t>
      </w:r>
      <w:r w:rsidRPr="007709F6">
        <w:t xml:space="preserve">“political action committees” </w:t>
      </w:r>
      <w:r>
        <w:t>(PACs),</w:t>
      </w:r>
      <w:r w:rsidRPr="007709F6">
        <w:t xml:space="preserve"> </w:t>
      </w:r>
      <w:r>
        <w:t xml:space="preserve">which are a common way that companies, unions, and politically active persons pool money to support or oppose a candidate or a cause. </w:t>
      </w:r>
      <w:r>
        <w:rPr>
          <w:bCs/>
        </w:rPr>
        <w:t xml:space="preserve">This </w:t>
      </w:r>
      <w:r w:rsidRPr="00330C55">
        <w:t xml:space="preserve">case is about how and when </w:t>
      </w:r>
      <w:r>
        <w:t>PACs</w:t>
      </w:r>
      <w:r w:rsidRPr="00330C55">
        <w:t xml:space="preserve"> can spend money </w:t>
      </w:r>
      <w:r>
        <w:t xml:space="preserve">directly </w:t>
      </w:r>
      <w:r w:rsidRPr="00330C55">
        <w:t>to advocate</w:t>
      </w:r>
      <w:r>
        <w:t xml:space="preserve"> for</w:t>
      </w:r>
      <w:r w:rsidRPr="00330C55">
        <w:t xml:space="preserve"> the election or defeat of a </w:t>
      </w:r>
      <w:r w:rsidRPr="00330C55">
        <w:lastRenderedPageBreak/>
        <w:t>candidate</w:t>
      </w:r>
      <w:r>
        <w:t xml:space="preserve">, called </w:t>
      </w:r>
      <w:r w:rsidRPr="003D486D">
        <w:t>independent expenditures</w:t>
      </w:r>
      <w:r w:rsidRPr="00330C55">
        <w:t>.</w:t>
      </w:r>
      <w:r>
        <w:t xml:space="preserve"> Do corporations enjoy the same free speech rights as individuals?</w:t>
      </w:r>
    </w:p>
    <w:p w14:paraId="6B50CA0E" w14:textId="77777777" w:rsidR="00E12D32" w:rsidRPr="006C1853" w:rsidRDefault="00E12D32" w:rsidP="00F52825">
      <w:pPr>
        <w:pStyle w:val="Subhead2sl"/>
        <w:spacing w:line="276" w:lineRule="auto"/>
        <w:rPr>
          <w:bCs/>
        </w:rPr>
      </w:pPr>
      <w:r w:rsidRPr="006C1853">
        <w:t>Facts</w:t>
      </w:r>
    </w:p>
    <w:p w14:paraId="15646E41" w14:textId="77777777" w:rsidR="00E12D32" w:rsidRDefault="00E12D32" w:rsidP="00F5282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addressed how corporations and unions may spend money to advocate for the election or 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(or oppose)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14:paraId="48E66E22" w14:textId="77777777" w:rsidR="00E12D32" w:rsidRDefault="00E12D32" w:rsidP="00F5282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(FEC) declared that </w:t>
      </w:r>
      <w:r>
        <w:rPr>
          <w:i/>
        </w:rPr>
        <w:t>Hillary: The Movie</w:t>
      </w:r>
      <w:r>
        <w:t xml:space="preserve"> was intended to influence voters, and, therefore, the advertisement limitations in the BCRA applied. That meant the organization was not allowed to advertise the film or pay to air it within 30 days of a primary election. Citizens United sued the FEC in federal court, asking to be allowed to show the film. The District Court heard the case and decided that even though it was a full-length movie and not a traditional television ad, the film was an appeal to not vote for Hillary Clinton. This meant the restrictions in the BCRA applied: corporations and organizations could not pay to air this sort of direct appeal to voters so close to an election. </w:t>
      </w:r>
    </w:p>
    <w:p w14:paraId="4B1BE2DF" w14:textId="77777777" w:rsidR="00E12D32" w:rsidRDefault="00E12D32" w:rsidP="00F52825">
      <w:pPr>
        <w:pStyle w:val="Basiccopysl"/>
      </w:pPr>
      <w:r>
        <w:t xml:space="preserve">Because of a special provision in the BCRA, Citizens United appealed the decision directly to the U.S. Supreme Court. Citizens United asked the Court to decide whether a feature-length film fell under the advertising rules of the BCRA and whether the law violated the organization’s First Amendment right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14:paraId="07DB5AA9" w14:textId="77777777" w:rsidR="00E12D32" w:rsidRPr="006C1853" w:rsidRDefault="00E12D32" w:rsidP="00F52825">
      <w:pPr>
        <w:pStyle w:val="Subhead2sl"/>
        <w:spacing w:line="276" w:lineRule="auto"/>
        <w:rPr>
          <w:bCs/>
        </w:rPr>
      </w:pPr>
      <w:r w:rsidRPr="006C1853">
        <w:t>Issue</w:t>
      </w:r>
    </w:p>
    <w:p w14:paraId="0531AA1D" w14:textId="77777777" w:rsidR="00E12D32" w:rsidRDefault="00E12D32" w:rsidP="00F52825">
      <w:pPr>
        <w:pStyle w:val="Basiccopysl"/>
      </w:pPr>
      <w:r w:rsidRPr="007C0B50">
        <w:t>Does a law</w:t>
      </w:r>
      <w:r>
        <w:t xml:space="preserve"> (BCRA)</w:t>
      </w:r>
      <w:r w:rsidRPr="007C0B50">
        <w:t xml:space="preserve"> that </w:t>
      </w:r>
      <w:r>
        <w:t xml:space="preserve">places </w:t>
      </w:r>
      <w:r w:rsidRPr="007C0B50">
        <w:t>limit</w:t>
      </w:r>
      <w:r>
        <w:t>ations on</w:t>
      </w:r>
      <w:r w:rsidRPr="007C0B50">
        <w:t xml:space="preserve"> </w:t>
      </w:r>
      <w:r>
        <w:t xml:space="preserve">the ability of </w:t>
      </w:r>
      <w:r w:rsidRPr="007C0B50">
        <w:t>corporations and labor</w:t>
      </w:r>
      <w:r>
        <w:t xml:space="preserve"> </w:t>
      </w:r>
      <w:r w:rsidRPr="007C0B50">
        <w:t xml:space="preserve">unions </w:t>
      </w:r>
      <w:r>
        <w:t xml:space="preserve">to spend their own money to advocate for the election or defeat of a candidate </w:t>
      </w:r>
      <w:r w:rsidRPr="007C0B50">
        <w:t>violate the First Amendment’s</w:t>
      </w:r>
      <w:r>
        <w:t xml:space="preserve"> </w:t>
      </w:r>
      <w:r w:rsidRPr="007C0B50">
        <w:t>guarantee of free speech?</w:t>
      </w:r>
    </w:p>
    <w:p w14:paraId="5D57CE29" w14:textId="77777777" w:rsidR="00E12D32" w:rsidRDefault="00E12D32" w:rsidP="00F52825">
      <w:pPr>
        <w:pStyle w:val="Subhead2sl"/>
        <w:spacing w:line="276" w:lineRule="auto"/>
      </w:pPr>
      <w:r>
        <w:lastRenderedPageBreak/>
        <w:t xml:space="preserve">Constitutional Provision, </w:t>
      </w:r>
      <w:r w:rsidRPr="006C1853">
        <w:t>Law</w:t>
      </w:r>
      <w:r>
        <w:t>,</w:t>
      </w:r>
      <w:r w:rsidRPr="006C1853">
        <w:t xml:space="preserve"> and </w:t>
      </w:r>
      <w:r>
        <w:t xml:space="preserve">Supreme Court </w:t>
      </w:r>
      <w:r w:rsidRPr="006C1853">
        <w:t>Precedents</w:t>
      </w:r>
    </w:p>
    <w:p w14:paraId="0C8CDA82" w14:textId="77777777" w:rsidR="00E12D32" w:rsidRPr="006B3666" w:rsidRDefault="00E12D32" w:rsidP="00F52825">
      <w:pPr>
        <w:pStyle w:val="Bulletboldsl"/>
        <w:numPr>
          <w:ilvl w:val="0"/>
          <w:numId w:val="7"/>
        </w:numPr>
      </w:pPr>
      <w:r w:rsidRPr="006B3666">
        <w:t>First Amendment</w:t>
      </w:r>
      <w:r>
        <w:t xml:space="preserve"> to the U.S. Constitution</w:t>
      </w:r>
    </w:p>
    <w:p w14:paraId="12A75804" w14:textId="77777777" w:rsidR="00E12D32" w:rsidRDefault="00E12D32" w:rsidP="00F52825">
      <w:pPr>
        <w:pStyle w:val="Basiccopyindentedsl0"/>
        <w:spacing w:line="276" w:lineRule="auto"/>
      </w:pPr>
      <w:r>
        <w:t>“</w:t>
      </w:r>
      <w:r w:rsidRPr="00056C60">
        <w:t xml:space="preserve">Congress shall make no law </w:t>
      </w:r>
      <w:r>
        <w:t xml:space="preserve">… </w:t>
      </w:r>
      <w:r w:rsidRPr="00056C60">
        <w:t>abridging the freedom of speech</w:t>
      </w:r>
      <w:r>
        <w:t xml:space="preserve"> …”</w:t>
      </w:r>
      <w:r w:rsidRPr="00056C60">
        <w:t xml:space="preserve"> </w:t>
      </w:r>
    </w:p>
    <w:p w14:paraId="38E83A11" w14:textId="77777777" w:rsidR="00E12D32" w:rsidRPr="003D486D" w:rsidRDefault="00E12D32" w:rsidP="00F52825">
      <w:pPr>
        <w:pStyle w:val="Bulletboldsl"/>
        <w:numPr>
          <w:ilvl w:val="0"/>
          <w:numId w:val="7"/>
        </w:numPr>
        <w:rPr>
          <w:b w:val="0"/>
          <w:bCs/>
        </w:rPr>
      </w:pPr>
      <w:r w:rsidRPr="003D486D">
        <w:rPr>
          <w:b w:val="0"/>
          <w:bCs/>
          <w:i/>
          <w:iCs w:val="0"/>
        </w:rPr>
        <w:t>Buckley v. Valeo</w:t>
      </w:r>
      <w:r w:rsidRPr="003D486D">
        <w:rPr>
          <w:b w:val="0"/>
          <w:bCs/>
        </w:rPr>
        <w:t xml:space="preserve"> (1976)</w:t>
      </w:r>
    </w:p>
    <w:p w14:paraId="400862E3" w14:textId="77777777" w:rsidR="00E12D32" w:rsidRDefault="00E12D32" w:rsidP="00F52825">
      <w:pPr>
        <w:pStyle w:val="Basiccopyindentedsl0"/>
        <w:spacing w:line="276" w:lineRule="auto"/>
      </w:pPr>
      <w:r>
        <w:t>The Court decided that the individual contribution</w:t>
      </w:r>
      <w:r w:rsidRPr="006A0E9A">
        <w:t xml:space="preserve"> limits</w:t>
      </w:r>
      <w:r>
        <w:t xml:space="preserve"> in the </w:t>
      </w:r>
      <w:r w:rsidRPr="00345AA7">
        <w:rPr>
          <w:iCs/>
        </w:rPr>
        <w:t>Federal Election Campaign Act</w:t>
      </w:r>
      <w:r w:rsidRPr="008157BB">
        <w:rPr>
          <w:iCs/>
        </w:rPr>
        <w:t xml:space="preserve"> </w:t>
      </w:r>
      <w:r w:rsidRPr="00345AA7">
        <w:rPr>
          <w:iCs/>
        </w:rPr>
        <w:t>of 1971 (FECA)</w:t>
      </w:r>
      <w:r w:rsidRPr="008157BB">
        <w:rPr>
          <w:iCs/>
        </w:rPr>
        <w:t xml:space="preserve"> </w:t>
      </w:r>
      <w:r>
        <w:t>were constitutional. The Court s</w:t>
      </w:r>
      <w:r w:rsidRPr="006A0E9A">
        <w:t xml:space="preserve">aid </w:t>
      </w:r>
      <w:r>
        <w:t xml:space="preserve">political contributions were a form of speech and that </w:t>
      </w:r>
      <w:r w:rsidRPr="006A0E9A">
        <w:t xml:space="preserve">contribution limits </w:t>
      </w:r>
      <w:r>
        <w:t>affected</w:t>
      </w:r>
      <w:r w:rsidRPr="006A0E9A">
        <w:t xml:space="preserve"> </w:t>
      </w:r>
      <w:r>
        <w:t>donors’</w:t>
      </w:r>
      <w:r w:rsidRPr="006A0E9A">
        <w:t xml:space="preserve"> </w:t>
      </w:r>
      <w:r>
        <w:t xml:space="preserve">First Amendment rights. However, they also found that these rights can be limited if the laws specifically address a very important government interest, such as preventing corruption, without restricting free speech too much. </w:t>
      </w:r>
    </w:p>
    <w:p w14:paraId="1CC66799" w14:textId="77777777" w:rsidR="00E12D32" w:rsidRDefault="00E12D32" w:rsidP="00F52825">
      <w:pPr>
        <w:pStyle w:val="Basiccopyindentedsl0"/>
        <w:spacing w:line="276" w:lineRule="auto"/>
      </w:pPr>
      <w:r>
        <w:t xml:space="preserve">The Court also found that the provision in the </w:t>
      </w:r>
      <w:r w:rsidRPr="00345AA7">
        <w:t>FECA</w:t>
      </w:r>
      <w:r>
        <w:t xml:space="preserve"> banning corporations and labor unions from making “independent expenditures” in support of (or in opposition to) a particular candidate (as opposed to contributions directly to the candidate or to the candidate’s campaign) unconstitutionally abridged the First Amendment rights of corporations and unions to engage in political speech.</w:t>
      </w:r>
    </w:p>
    <w:p w14:paraId="028116DA" w14:textId="77777777" w:rsidR="00E12D32" w:rsidRPr="003D486D" w:rsidRDefault="00E12D32" w:rsidP="00F52825">
      <w:pPr>
        <w:pStyle w:val="Bulletboldsl"/>
        <w:numPr>
          <w:ilvl w:val="0"/>
          <w:numId w:val="7"/>
        </w:numPr>
        <w:rPr>
          <w:b w:val="0"/>
          <w:bCs/>
        </w:rPr>
      </w:pPr>
      <w:r w:rsidRPr="003D486D">
        <w:rPr>
          <w:b w:val="0"/>
          <w:bCs/>
          <w:i/>
          <w:iCs w:val="0"/>
        </w:rPr>
        <w:t>Austin v. Michigan Chamber of Commerce</w:t>
      </w:r>
      <w:r w:rsidRPr="003D486D">
        <w:rPr>
          <w:b w:val="0"/>
          <w:bCs/>
        </w:rPr>
        <w:t xml:space="preserve"> (1990) </w:t>
      </w:r>
    </w:p>
    <w:p w14:paraId="2D565A80" w14:textId="77777777" w:rsidR="00E12D32" w:rsidRPr="002623B7" w:rsidRDefault="00E12D32" w:rsidP="00F52825">
      <w:pPr>
        <w:pStyle w:val="Basiccopyindentedsl0"/>
        <w:spacing w:line="276" w:lineRule="auto"/>
      </w:pPr>
      <w:r w:rsidRPr="002623B7">
        <w:t>A state law in Michigan said that for-profit and non</w:t>
      </w:r>
      <w:r>
        <w:t>-</w:t>
      </w:r>
      <w:r w:rsidRPr="002623B7">
        <w:t xml:space="preserve">profit corporations could not use their money to run ads that support or oppose candidates in state elections. The Supreme Court decided the Michigan law was constitutional, even though it did restrict corporations’ speech. First, the justices said that the government had a very important reason for 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14:paraId="64DAA7E8" w14:textId="77777777" w:rsidR="00E12D32" w:rsidRPr="00330C55" w:rsidRDefault="00E12D32" w:rsidP="00F52825">
      <w:pPr>
        <w:pStyle w:val="Bulletboldsl"/>
        <w:numPr>
          <w:ilvl w:val="0"/>
          <w:numId w:val="7"/>
        </w:numPr>
      </w:pPr>
      <w:r w:rsidRPr="00330C55">
        <w:t xml:space="preserve">The Bipartisan Campaign Reform Act </w:t>
      </w:r>
      <w:r>
        <w:t xml:space="preserve">(BRCA) </w:t>
      </w:r>
      <w:r w:rsidRPr="00330C55">
        <w:t>of 2002 (</w:t>
      </w:r>
      <w:r>
        <w:t>a</w:t>
      </w:r>
      <w:r w:rsidRPr="00330C55">
        <w:t xml:space="preserve">lso </w:t>
      </w:r>
      <w:r>
        <w:t xml:space="preserve">known as the </w:t>
      </w:r>
      <w:r w:rsidRPr="00330C55">
        <w:t xml:space="preserve">McCain-Feingold </w:t>
      </w:r>
      <w:r>
        <w:t>Act</w:t>
      </w:r>
      <w:r w:rsidRPr="00330C55">
        <w:t>)</w:t>
      </w:r>
    </w:p>
    <w:p w14:paraId="33686418" w14:textId="77777777" w:rsidR="00E12D32" w:rsidRDefault="00E12D32" w:rsidP="00F52825">
      <w:pPr>
        <w:pStyle w:val="Basiccopyindentedsl0"/>
        <w:spacing w:line="276" w:lineRule="auto"/>
      </w:pPr>
      <w:r>
        <w:t xml:space="preserve">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 </w:t>
      </w:r>
      <w:r w:rsidRPr="002623B7">
        <w:t>This included both “express advocacy” (ads that specifically appealed to voters to vote for or against a certain candidate) and “issue advocacy” (ads that expressed a view about a political issue and mentioned a candidate).</w:t>
      </w:r>
    </w:p>
    <w:p w14:paraId="46D4CD60" w14:textId="77777777" w:rsidR="00E12D32" w:rsidRDefault="00E12D32" w:rsidP="00F52825">
      <w:pPr>
        <w:pStyle w:val="Basiccopyindentedsl0"/>
        <w:spacing w:line="276" w:lineRule="auto"/>
      </w:pPr>
      <w:r>
        <w:t xml:space="preserve">In 2003, in a case called </w:t>
      </w:r>
      <w:r w:rsidRPr="00F67F6E">
        <w:t>McConnell v. FEC,</w:t>
      </w:r>
      <w:r>
        <w:t xml:space="preserve"> the Supreme Court said that the portion of the BCRA about electioneering communications was constitutional. </w:t>
      </w:r>
    </w:p>
    <w:p w14:paraId="6CD7C1DA" w14:textId="77777777" w:rsidR="00E12D32" w:rsidRPr="003D486D" w:rsidRDefault="00E12D32" w:rsidP="00F52825">
      <w:pPr>
        <w:pStyle w:val="Bulletboldsl"/>
        <w:numPr>
          <w:ilvl w:val="0"/>
          <w:numId w:val="7"/>
        </w:numPr>
        <w:rPr>
          <w:b w:val="0"/>
          <w:bCs/>
        </w:rPr>
      </w:pPr>
      <w:r w:rsidRPr="003D486D">
        <w:rPr>
          <w:b w:val="0"/>
          <w:bCs/>
          <w:i/>
          <w:iCs w:val="0"/>
        </w:rPr>
        <w:lastRenderedPageBreak/>
        <w:t>Wisconsin Right to Life v. FEC</w:t>
      </w:r>
      <w:r w:rsidRPr="003D486D">
        <w:rPr>
          <w:b w:val="0"/>
          <w:bCs/>
        </w:rPr>
        <w:t xml:space="preserve"> (2007)</w:t>
      </w:r>
    </w:p>
    <w:p w14:paraId="2C34AA34" w14:textId="77777777" w:rsidR="00E12D32" w:rsidRPr="00330C55" w:rsidRDefault="00E12D32" w:rsidP="00F52825">
      <w:pPr>
        <w:pStyle w:val="Basiccopyindentedsl0"/>
        <w:spacing w:line="276" w:lineRule="auto"/>
      </w:pPr>
      <w:r w:rsidRPr="002623B7">
        <w:t xml:space="preserve">The Supreme Court decided that the </w:t>
      </w:r>
      <w:r>
        <w:t xml:space="preserve">BCRA’s </w:t>
      </w:r>
      <w:r w:rsidRPr="002623B7">
        <w:t>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mention public officials, as long as they are not direct appeals to vote for or against a specific candidate.</w:t>
      </w:r>
    </w:p>
    <w:p w14:paraId="7B7256D7" w14:textId="77777777" w:rsidR="00E12D32" w:rsidRPr="006C1853" w:rsidRDefault="00E12D32" w:rsidP="00F52825">
      <w:pPr>
        <w:pStyle w:val="Subhead2sl"/>
        <w:spacing w:line="276" w:lineRule="auto"/>
      </w:pPr>
      <w:r w:rsidRPr="006C1853">
        <w:t>Arguments for Citizens United</w:t>
      </w:r>
      <w:r>
        <w:t xml:space="preserve"> (petitioner)</w:t>
      </w:r>
    </w:p>
    <w:p w14:paraId="6C7A8105" w14:textId="77777777" w:rsidR="00E12D32" w:rsidRDefault="00E12D32" w:rsidP="00F5282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14:paraId="32B49407" w14:textId="77777777" w:rsidR="00E12D32" w:rsidRDefault="00E12D32" w:rsidP="00F5282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14:paraId="549FAA15" w14:textId="77777777" w:rsidR="00E12D32" w:rsidRDefault="00E12D32" w:rsidP="00F52825">
      <w:pPr>
        <w:pStyle w:val="Bulletsl"/>
        <w:spacing w:line="276" w:lineRule="auto"/>
      </w:pPr>
      <w:r>
        <w:t>Newspapers are corporations. Through editorials, news organizations and media companies try to influence elections. If Congress can ban corporations from placing political ads, what prevents them from regulating the media as well?</w:t>
      </w:r>
    </w:p>
    <w:p w14:paraId="0C4CC3CB" w14:textId="5FF88639" w:rsidR="00E12D32" w:rsidRDefault="00E12D32" w:rsidP="00F52825">
      <w:pPr>
        <w:pStyle w:val="Bulletsl"/>
        <w:spacing w:line="276" w:lineRule="auto"/>
      </w:pPr>
      <w:r>
        <w:t>If a movie about a political candidate produced by a corporation can be banned, then books about political candidates that are published within 60 days of an election might be banned as well. Government censorship of this kind would have far</w:t>
      </w:r>
      <w:r w:rsidR="00462097">
        <w:t>-</w:t>
      </w:r>
      <w:r>
        <w:t>reaching implications.</w:t>
      </w:r>
    </w:p>
    <w:p w14:paraId="78000641" w14:textId="77777777" w:rsidR="00E12D32" w:rsidRDefault="00E12D32" w:rsidP="00F52825">
      <w:pPr>
        <w:pStyle w:val="Bulletsl"/>
        <w:spacing w:line="276" w:lineRule="auto"/>
      </w:pPr>
      <w:r w:rsidRPr="00C31929">
        <w:t>Though some</w:t>
      </w:r>
      <w:r>
        <w:t xml:space="preserve"> </w:t>
      </w:r>
      <w:r w:rsidRPr="00C31929">
        <w:t>people or organizations have more money and can</w:t>
      </w:r>
      <w:r>
        <w:t xml:space="preserve">, </w:t>
      </w:r>
      <w:r w:rsidRPr="00C31929">
        <w:t>therefore</w:t>
      </w:r>
      <w:r>
        <w:t>,</w:t>
      </w:r>
      <w:r w:rsidRPr="00C31929">
        <w:t xml:space="preserve"> speak more, the First Amendment does not</w:t>
      </w:r>
      <w:r>
        <w:t xml:space="preserve"> </w:t>
      </w:r>
      <w:r w:rsidRPr="00C31929">
        <w:t>allow for making some forms of speech illegal in order</w:t>
      </w:r>
      <w:r>
        <w:t xml:space="preserve"> </w:t>
      </w:r>
      <w:r w:rsidRPr="00C31929">
        <w:t xml:space="preserve">to make things “fair.” </w:t>
      </w:r>
    </w:p>
    <w:p w14:paraId="33FCDEB4" w14:textId="77777777" w:rsidR="00E12D32" w:rsidRDefault="00E12D32" w:rsidP="00F52825">
      <w:pPr>
        <w:pStyle w:val="Bulletsl"/>
        <w:spacing w:line="276" w:lineRule="auto"/>
      </w:pPr>
      <w:r>
        <w:t>M</w:t>
      </w:r>
      <w:r w:rsidRPr="00C31929">
        <w:t>erely</w:t>
      </w:r>
      <w:r>
        <w:t xml:space="preserve"> </w:t>
      </w:r>
      <w:r w:rsidRPr="00C31929">
        <w:t>spending money to support a candidate</w:t>
      </w:r>
      <w:r>
        <w:t xml:space="preserve">—particularly when the money is spent independently and not given directly to the candidate or their campaign—does </w:t>
      </w:r>
      <w:r w:rsidRPr="00C31929">
        <w:t>not</w:t>
      </w:r>
      <w:r>
        <w:t xml:space="preserve"> </w:t>
      </w:r>
      <w:r w:rsidRPr="00C31929">
        <w:t>create or even suggest the corruption that campaign</w:t>
      </w:r>
      <w:r>
        <w:t xml:space="preserve"> </w:t>
      </w:r>
      <w:r w:rsidRPr="00C31929">
        <w:t>finance reform was originally created to address.</w:t>
      </w:r>
    </w:p>
    <w:p w14:paraId="06F8793C" w14:textId="77777777" w:rsidR="00E12D32" w:rsidRPr="006C1853" w:rsidRDefault="00E12D32" w:rsidP="00F52825">
      <w:pPr>
        <w:pStyle w:val="Bulletsl"/>
        <w:spacing w:line="276" w:lineRule="auto"/>
        <w:rPr>
          <w:b/>
        </w:rPr>
      </w:pPr>
      <w:r>
        <w:t xml:space="preserve">Incumbents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14:paraId="054F9E1C" w14:textId="77777777" w:rsidR="00E12D32" w:rsidRPr="006C1853" w:rsidRDefault="00E12D32" w:rsidP="00F52825">
      <w:pPr>
        <w:pStyle w:val="Subhead2sl"/>
        <w:spacing w:line="276" w:lineRule="auto"/>
      </w:pPr>
      <w:r w:rsidRPr="006C1853">
        <w:t>Arguments for the Federal Election Commission</w:t>
      </w:r>
      <w:r>
        <w:t xml:space="preserve"> (respondent)</w:t>
      </w:r>
    </w:p>
    <w:p w14:paraId="5A714B32" w14:textId="77777777" w:rsidR="00E12D32" w:rsidRDefault="00E12D32" w:rsidP="00F5282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14:paraId="475EB1C1" w14:textId="77777777" w:rsidR="00E12D32" w:rsidRDefault="00E12D32" w:rsidP="00F52825">
      <w:pPr>
        <w:pStyle w:val="Bulletsl"/>
        <w:spacing w:line="276" w:lineRule="auto"/>
      </w:pPr>
      <w:r>
        <w:lastRenderedPageBreak/>
        <w:t xml:space="preserve">The BCRA leaves other ways for corporations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14:paraId="16D604DE" w14:textId="77777777" w:rsidR="00E12D32" w:rsidRDefault="00E12D32" w:rsidP="00F5282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14:paraId="2B8584A1" w14:textId="77777777" w:rsidR="00E12D32" w:rsidRDefault="00E12D32" w:rsidP="00F5282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 xml:space="preserve">a candidate, corporations and unions will have </w:t>
      </w:r>
      <w:r>
        <w:t>greater</w:t>
      </w:r>
      <w:r w:rsidRPr="00C31929">
        <w:t xml:space="preserve"> access to, if not power over, that</w:t>
      </w:r>
      <w:r>
        <w:t xml:space="preserve"> </w:t>
      </w:r>
      <w:r w:rsidRPr="00C31929">
        <w:t xml:space="preserve">candidate. </w:t>
      </w:r>
    </w:p>
    <w:p w14:paraId="3C3DCF02" w14:textId="77777777" w:rsidR="00E12D32" w:rsidRDefault="00E12D32" w:rsidP="00F5282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14:paraId="2A3B543F" w14:textId="77777777" w:rsidR="00E12D32" w:rsidRPr="00D91092" w:rsidRDefault="00E12D32" w:rsidP="00F52825">
      <w:pPr>
        <w:pStyle w:val="Bulletsl"/>
        <w:spacing w:line="276" w:lineRule="auto"/>
      </w:pPr>
      <w:r w:rsidRPr="00D91092">
        <w:rPr>
          <w:bCs/>
          <w:iCs/>
        </w:rPr>
        <w:t xml:space="preserve">Corporations can accumulate so much money that they could overwhelm the conversation and drown out the speech of less wealthy individuals in an election. </w:t>
      </w:r>
    </w:p>
    <w:p w14:paraId="411BCA88" w14:textId="77777777" w:rsidR="00E12D32" w:rsidRPr="00B74DCC" w:rsidRDefault="00E12D32" w:rsidP="00F52825">
      <w:pPr>
        <w:pStyle w:val="Subhead2sl"/>
        <w:spacing w:line="276" w:lineRule="auto"/>
        <w:rPr>
          <w:bCs/>
        </w:rPr>
      </w:pPr>
      <w:r w:rsidRPr="008A56E8">
        <w:t>Decision</w:t>
      </w:r>
    </w:p>
    <w:p w14:paraId="62358E7C" w14:textId="7109A54B" w:rsidR="00E12D32" w:rsidRDefault="00E12D32" w:rsidP="00F52825">
      <w:pPr>
        <w:pStyle w:val="Basiccopysl"/>
      </w:pPr>
      <w:r w:rsidRPr="00926871">
        <w:t>The Court ruled</w:t>
      </w:r>
      <w:r>
        <w:t>, 5</w:t>
      </w:r>
      <w:r w:rsidR="00211230">
        <w:t>-</w:t>
      </w:r>
      <w:r>
        <w:t>4,</w:t>
      </w:r>
      <w:r w:rsidRPr="00926871">
        <w:t xml:space="preserve"> that the First Amendment prohibits limits on corporate funding of independent broadcasts in candidate elections. Justice Kennedy wrote the majority opinion. He was joined by Chief Justice Roberts and Justices Scalia, Thomas, and Alito. Justice Stevens dissented and was joined by Justices Ginsburg, Breyer, and Sotomayor. </w:t>
      </w:r>
    </w:p>
    <w:p w14:paraId="3BA80509" w14:textId="77777777" w:rsidR="00E12D32" w:rsidRPr="002623B7" w:rsidRDefault="00E12D32" w:rsidP="00F52825">
      <w:pPr>
        <w:pStyle w:val="Subhead3sl"/>
      </w:pPr>
      <w:r>
        <w:t>Majority</w:t>
      </w:r>
    </w:p>
    <w:p w14:paraId="37D609E1" w14:textId="77777777" w:rsidR="00E12D32" w:rsidRDefault="00E12D32" w:rsidP="00F52825">
      <w:pPr>
        <w:pStyle w:val="Basiccopysl"/>
      </w:pPr>
      <w:r w:rsidRPr="00926871">
        <w:t xml:space="preserve">The Court reversed two earlier decisions that held political speech by corporations may be limited </w:t>
      </w:r>
      <w:r w:rsidRPr="00345AA7">
        <w:rPr>
          <w:i/>
          <w:iCs/>
        </w:rPr>
        <w:t>(</w:t>
      </w:r>
      <w:r w:rsidRPr="00124556">
        <w:rPr>
          <w:i/>
        </w:rPr>
        <w:t>Austin v. Michigan Chamber of Commerce</w:t>
      </w:r>
      <w:r w:rsidRPr="00926871">
        <w:t xml:space="preserve"> and portions of </w:t>
      </w:r>
      <w:r w:rsidRPr="00124556">
        <w:rPr>
          <w:i/>
        </w:rPr>
        <w:t>McConnell v. FEC</w:t>
      </w:r>
      <w:r w:rsidRPr="00345AA7">
        <w:rPr>
          <w:i/>
          <w:iCs/>
        </w:rPr>
        <w:t>).</w:t>
      </w:r>
      <w:r>
        <w:t xml:space="preserve"> The Court began by asserting two important points: </w:t>
      </w:r>
      <w:r w:rsidRPr="00345AA7">
        <w:rPr>
          <w:b/>
          <w:bCs/>
        </w:rPr>
        <w:t>1)</w:t>
      </w:r>
      <w:r>
        <w:t xml:space="preserve"> “</w:t>
      </w:r>
      <w:r w:rsidRPr="008C165E">
        <w:t>The Court has recognized that First Amendment protection extends to corporations</w:t>
      </w:r>
      <w:r>
        <w:t xml:space="preserve">” and </w:t>
      </w:r>
      <w:r w:rsidRPr="00345AA7">
        <w:rPr>
          <w:b/>
          <w:bCs/>
        </w:rPr>
        <w:t>2)</w:t>
      </w:r>
      <w:r>
        <w:t xml:space="preserve"> “</w:t>
      </w:r>
      <w:r w:rsidRPr="00281701">
        <w:t xml:space="preserve">Political speech is </w:t>
      </w:r>
      <w:r>
        <w:t>‘</w:t>
      </w:r>
      <w:r w:rsidRPr="00281701">
        <w:t>indispensable to decision</w:t>
      </w:r>
      <w:r>
        <w:t xml:space="preserve"> </w:t>
      </w:r>
      <w:r w:rsidRPr="00281701">
        <w:t>making in a democracy, and this is no less true because the speech comes from a corporation rather than an individual</w:t>
      </w:r>
      <w:r>
        <w:t>’</w:t>
      </w:r>
      <w:r w:rsidRPr="00281701">
        <w:t>.”</w:t>
      </w:r>
      <w:r>
        <w:t xml:space="preserve"> </w:t>
      </w:r>
      <w:r w:rsidRPr="00926871">
        <w:t xml:space="preserve">The justices said that the government’s rationale for the limits on corporate spending—to prevent corruption—was not persuasive enough to restrict political speech. A desire to prevent corruption </w:t>
      </w:r>
      <w:r>
        <w:t>may</w:t>
      </w:r>
      <w:r w:rsidRPr="00926871">
        <w:t xml:space="preserve"> justify limits on donations to candidates, but not on independent expenditures (spending that is not coordinated with a candidate’s campaign) to support or oppose candidates for elected office. </w:t>
      </w:r>
      <w:r>
        <w:t>The majority struck down the BCRA’s limits on independent expenditures, but it</w:t>
      </w:r>
      <w:r w:rsidRPr="00926871">
        <w:t xml:space="preserve"> did not strike down parts of the BCRA that require that televised electioneering communications include disclosures about who is responsible for the ad and whether it was authorized by the candidate. </w:t>
      </w:r>
    </w:p>
    <w:p w14:paraId="2945CDE3" w14:textId="77777777" w:rsidR="00E12D32" w:rsidRPr="002623B7" w:rsidRDefault="00E12D32" w:rsidP="00F52825">
      <w:pPr>
        <w:pStyle w:val="Subhead3sl"/>
        <w:keepNext/>
      </w:pPr>
      <w:r>
        <w:lastRenderedPageBreak/>
        <w:t>Dissent</w:t>
      </w:r>
    </w:p>
    <w:p w14:paraId="75F84C70" w14:textId="77777777" w:rsidR="00E12D32" w:rsidRDefault="00E12D32" w:rsidP="00F52825">
      <w:pPr>
        <w:pStyle w:val="Basiccopysl"/>
      </w:pPr>
      <w:r w:rsidRPr="00926871">
        <w:t xml:space="preserve">Justice Stevens, writing for the dissenters, said that the First Amendment protects people, not corporations. The dissenters </w:t>
      </w:r>
      <w:r>
        <w:t>concluded</w:t>
      </w:r>
      <w:r w:rsidRPr="00926871">
        <w:t xml:space="preserve"> that the government should be allowed to ban corporate money</w:t>
      </w:r>
      <w:r>
        <w:t xml:space="preserve"> from political elections,</w:t>
      </w:r>
      <w:r w:rsidRPr="00926871">
        <w:t xml:space="preserve"> because it could overwhelm the debate and drown out non-corporate voices. They noted that Congress had imposed special rules on corporate campaign spending for more than 100 years. </w:t>
      </w:r>
      <w:r>
        <w:t xml:space="preserve">The dissenters also urged adherence to the </w:t>
      </w:r>
      <w:r w:rsidRPr="00940D53">
        <w:rPr>
          <w:i/>
        </w:rPr>
        <w:t>Austin</w:t>
      </w:r>
      <w:r>
        <w:t xml:space="preserve"> precedent, which had upheld similar bans. </w:t>
      </w:r>
      <w:r w:rsidRPr="00926871">
        <w:t>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w:t>
      </w:r>
      <w:r>
        <w:t xml:space="preserve"> Finally, t</w:t>
      </w:r>
      <w:r w:rsidRPr="00926871">
        <w:t>he dissenters argued that the BCRA left open ways for corporations to speak</w:t>
      </w:r>
      <w:r>
        <w:t xml:space="preserve"> through various mechanisms and even to broadcast political positions outside the limited pre-election windows. The dissenters considered these to be reasonable “time” limitations intended to protect the integrity of the electoral process against excessive PAC influence. They also</w:t>
      </w:r>
      <w:r w:rsidRPr="00926871">
        <w:t xml:space="preserve"> argued that </w:t>
      </w:r>
      <w:r>
        <w:t xml:space="preserve">restrictions on use of corporate money for political purposes </w:t>
      </w:r>
      <w:r w:rsidRPr="00926871">
        <w:t xml:space="preserve">would better protect corporate shareholders from having their stake in a corporation used to support candidates </w:t>
      </w:r>
      <w:r>
        <w:t xml:space="preserve">with whom </w:t>
      </w:r>
      <w:r w:rsidRPr="00926871">
        <w:t>they disagree</w:t>
      </w:r>
      <w:r>
        <w:t>.</w:t>
      </w:r>
    </w:p>
    <w:p w14:paraId="51994FC2" w14:textId="77777777" w:rsidR="00E12D32" w:rsidRPr="002623B7" w:rsidRDefault="00E12D32" w:rsidP="00F52825">
      <w:pPr>
        <w:pStyle w:val="Subhead2sl"/>
        <w:spacing w:line="276" w:lineRule="auto"/>
      </w:pPr>
      <w:r>
        <w:t>Impact</w:t>
      </w:r>
    </w:p>
    <w:p w14:paraId="0195B50D" w14:textId="77777777" w:rsidR="00E12D32" w:rsidRDefault="00E12D32" w:rsidP="00F52825">
      <w:pPr>
        <w:pStyle w:val="Basiccopysl"/>
      </w:pPr>
      <w:r>
        <w:rPr>
          <w:i/>
          <w:iCs/>
        </w:rPr>
        <w:t xml:space="preserve">Citizens United </w:t>
      </w:r>
      <w:r>
        <w:t xml:space="preserve">has remained a highly controversial decision in the years since the Court handed down its ruling. The decision prompted the creation of many “independent expenditure only” groups, nicknamed “Super PACs,” that can raise and spend money without limits. Since the 2010 </w:t>
      </w:r>
      <w:r w:rsidRPr="007022CA">
        <w:rPr>
          <w:i/>
          <w:iCs/>
        </w:rPr>
        <w:t>Citizens United</w:t>
      </w:r>
      <w:r>
        <w:t xml:space="preserve"> decision, every election cycle has broken records for the amount of outside money spent on elections. Super PACs have emerged as the largest spenders. </w:t>
      </w:r>
    </w:p>
    <w:p w14:paraId="674F5297" w14:textId="77777777" w:rsidR="00E12D32" w:rsidRDefault="00E12D32" w:rsidP="00F52825">
      <w:pPr>
        <w:pStyle w:val="Basiccopysl"/>
      </w:pPr>
      <w:r>
        <w:t>Those who support the decision argue that it allows voters to hear more voices, helping them to come to more educated decisions when voting. Those who oppose it insist that it gives lobbyists and special interest groups undue power over the political process because large corporations can spend more on campaign contributions than individual donors can.</w:t>
      </w:r>
    </w:p>
    <w:p w14:paraId="1AC68673" w14:textId="77777777" w:rsidR="00E12D32" w:rsidRDefault="00E12D32" w:rsidP="00F52825">
      <w:pPr>
        <w:pStyle w:val="Subhead2sl"/>
        <w:spacing w:before="120" w:line="276" w:lineRule="auto"/>
        <w:rPr>
          <w:color w:val="222222"/>
        </w:rPr>
        <w:sectPr w:rsidR="00E12D32" w:rsidSect="00F42CDF">
          <w:headerReference w:type="default" r:id="rId24"/>
          <w:footerReference w:type="first" r:id="rId25"/>
          <w:footnotePr>
            <w:numFmt w:val="chicago"/>
          </w:footnotePr>
          <w:pgSz w:w="12240" w:h="15840"/>
          <w:pgMar w:top="1440" w:right="1440" w:bottom="1440" w:left="1440" w:header="720" w:footer="720" w:gutter="0"/>
          <w:cols w:space="720"/>
          <w:titlePg/>
          <w:docGrid w:linePitch="360"/>
        </w:sectPr>
      </w:pPr>
    </w:p>
    <w:p w14:paraId="3E111169" w14:textId="77777777" w:rsidR="00810E29" w:rsidRPr="00810E29" w:rsidRDefault="00810E29" w:rsidP="00F52825">
      <w:pPr>
        <w:spacing w:after="0" w:line="276" w:lineRule="auto"/>
        <w:rPr>
          <w:sz w:val="12"/>
          <w:szCs w:val="10"/>
        </w:rPr>
      </w:pPr>
    </w:p>
    <w:p w14:paraId="4BEA3652" w14:textId="77777777" w:rsidR="00E12D32" w:rsidRDefault="00E12D32" w:rsidP="00CC30C5">
      <w:pPr>
        <w:pStyle w:val="Heading1"/>
      </w:pPr>
      <w:bookmarkStart w:id="3" w:name="_Toc80619873"/>
      <w:r w:rsidRPr="00391EA0">
        <w:t>Engel v. Vitale</w:t>
      </w:r>
      <w:r w:rsidRPr="005A76C8">
        <w:t xml:space="preserve"> </w:t>
      </w:r>
      <w:r w:rsidRPr="00CC30C5">
        <w:rPr>
          <w:i w:val="0"/>
          <w:iCs w:val="0"/>
        </w:rPr>
        <w:t>(1962)</w:t>
      </w:r>
      <w:bookmarkEnd w:id="3"/>
    </w:p>
    <w:p w14:paraId="7332CAD7" w14:textId="77777777" w:rsidR="00E12D32" w:rsidRPr="00882E1D" w:rsidRDefault="00E12D32" w:rsidP="00F52825">
      <w:pPr>
        <w:pStyle w:val="Basiccopysl"/>
        <w:jc w:val="center"/>
      </w:pPr>
      <w:r w:rsidRPr="00391EA0">
        <w:rPr>
          <w:b/>
        </w:rPr>
        <w:t>Argued:</w:t>
      </w:r>
      <w:r w:rsidRPr="00F44172">
        <w:t xml:space="preserve"> April 3</w:t>
      </w:r>
      <w:r w:rsidRPr="00596232">
        <w:t>, 1962</w:t>
      </w:r>
    </w:p>
    <w:p w14:paraId="7E9C9F40" w14:textId="77777777" w:rsidR="00E12D32" w:rsidRPr="00882E1D" w:rsidRDefault="00E12D32" w:rsidP="00F52825">
      <w:pPr>
        <w:pStyle w:val="Basiccopysl"/>
        <w:jc w:val="center"/>
      </w:pPr>
      <w:r w:rsidRPr="00391EA0">
        <w:rPr>
          <w:b/>
        </w:rPr>
        <w:t>Decided:</w:t>
      </w:r>
      <w:r w:rsidRPr="00F44172">
        <w:t xml:space="preserve"> June 25</w:t>
      </w:r>
      <w:r w:rsidRPr="00596232">
        <w:t>, 1962</w:t>
      </w:r>
    </w:p>
    <w:p w14:paraId="599651E9" w14:textId="77777777" w:rsidR="00E12D32" w:rsidRPr="00F2075E" w:rsidRDefault="00E12D32" w:rsidP="00F52825">
      <w:pPr>
        <w:pStyle w:val="Subhead2sl"/>
        <w:spacing w:line="276" w:lineRule="auto"/>
      </w:pPr>
      <w:r>
        <w:t>B</w:t>
      </w:r>
      <w:r w:rsidRPr="00F2075E">
        <w:t>ackground</w:t>
      </w:r>
    </w:p>
    <w:p w14:paraId="76D134A1" w14:textId="77777777" w:rsidR="00E12D32" w:rsidRPr="00F2075E" w:rsidRDefault="00E12D32" w:rsidP="00F52825">
      <w:pPr>
        <w:pStyle w:val="Basiccopysl"/>
      </w:pPr>
      <w:r w:rsidRPr="00F2075E">
        <w:t xml:space="preserve">The First Amendment to the Constitution protects the right to </w:t>
      </w:r>
      <w:r>
        <w:t>religious</w:t>
      </w:r>
      <w:r w:rsidRPr="00F2075E">
        <w:t xml:space="preserve"> worship</w:t>
      </w:r>
      <w:r>
        <w:t>,</w:t>
      </w:r>
      <w:r w:rsidRPr="00F2075E">
        <w:t xml:space="preserve"> yet </w:t>
      </w:r>
      <w:r>
        <w:t xml:space="preserve">it </w:t>
      </w:r>
      <w:r w:rsidRPr="00F2075E">
        <w:t>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14:paraId="52DCEE49" w14:textId="77777777" w:rsidR="00E12D32" w:rsidRPr="00F2075E" w:rsidRDefault="00E12D32" w:rsidP="00F52825">
      <w:pPr>
        <w:pStyle w:val="Basiccopysl"/>
      </w:pPr>
      <w:r>
        <w:t xml:space="preserve">The United States has a long history of infusing religious acts into its political practices. For instance, “In God We Trust” is printed on currency. Congress opens each session with a prayer. Before testifying in court, witnesses typically pledge an oath to God that they will tell the truth. Traditionally, presidents are sworn in by placing a hand on a Bible. Congress employs a chaplain, and Supreme Court sessions are opened with the invocation “God save the United States and this Honorable Court.” </w:t>
      </w:r>
    </w:p>
    <w:p w14:paraId="00AE52A5" w14:textId="77777777" w:rsidR="00E12D32" w:rsidRPr="00F2075E" w:rsidRDefault="00E12D32" w:rsidP="00F52825">
      <w:pPr>
        <w:pStyle w:val="Basiccopysl"/>
      </w:pPr>
      <w:r>
        <w:t>Public schools are bedrock institutions of U.S. democracy, where the teaching of citizenship, rights, and freedoms are common. This is a case about whether public schools may also play a role in promoting those values through the daily recitation of prayer.</w:t>
      </w:r>
    </w:p>
    <w:p w14:paraId="3AA53B8A" w14:textId="77777777" w:rsidR="00E12D32" w:rsidRPr="00F2075E" w:rsidRDefault="00E12D32" w:rsidP="00F52825">
      <w:pPr>
        <w:pStyle w:val="Subhead2sl"/>
        <w:spacing w:line="276" w:lineRule="auto"/>
      </w:pPr>
      <w:r w:rsidRPr="00F2075E">
        <w:t>Facts</w:t>
      </w:r>
    </w:p>
    <w:p w14:paraId="6FE9EE6E" w14:textId="77777777" w:rsidR="00E12D32" w:rsidRPr="00F2075E" w:rsidRDefault="00E12D32" w:rsidP="00F52825">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State Board of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w:t>
      </w:r>
      <w:r>
        <w:t>ven</w:t>
      </w:r>
      <w:r w:rsidRPr="00792984">
        <w:t xml:space="preserve">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14:paraId="7C6CDA55" w14:textId="77777777" w:rsidR="00E12D32" w:rsidRPr="00F2075E" w:rsidRDefault="00E12D32" w:rsidP="00F52825">
      <w:pPr>
        <w:pStyle w:val="Subhead2sl"/>
        <w:spacing w:line="276" w:lineRule="auto"/>
      </w:pPr>
      <w:r w:rsidRPr="00F2075E">
        <w:t>Issue</w:t>
      </w:r>
    </w:p>
    <w:p w14:paraId="7700F021" w14:textId="77777777" w:rsidR="00E12D32" w:rsidRPr="00F2075E" w:rsidRDefault="00E12D32" w:rsidP="00F52825">
      <w:pPr>
        <w:pStyle w:val="Basiccopysl"/>
      </w:pPr>
      <w:r w:rsidRPr="00F2075E">
        <w:t xml:space="preserve">Does the recitation of a </w:t>
      </w:r>
      <w:r>
        <w:t xml:space="preserve">government-composed </w:t>
      </w:r>
      <w:r w:rsidRPr="00F2075E">
        <w:t xml:space="preserve">prayer in public schools violate the Establishment Clause of the First Amendment? </w:t>
      </w:r>
    </w:p>
    <w:p w14:paraId="7A090890" w14:textId="77777777" w:rsidR="00E12D32" w:rsidRPr="00F2075E" w:rsidRDefault="00E12D32" w:rsidP="00F52825">
      <w:pPr>
        <w:pStyle w:val="Subhead2sl"/>
        <w:keepNext/>
        <w:spacing w:line="276" w:lineRule="auto"/>
      </w:pPr>
      <w:r w:rsidRPr="00F2075E">
        <w:lastRenderedPageBreak/>
        <w:t xml:space="preserve">Constitutional </w:t>
      </w:r>
      <w:r>
        <w:t>Amendment</w:t>
      </w:r>
      <w:r w:rsidRPr="00F2075E">
        <w:t xml:space="preserve"> and </w:t>
      </w:r>
      <w:r>
        <w:t xml:space="preserve">Supreme Court </w:t>
      </w:r>
      <w:r w:rsidRPr="00F2075E">
        <w:t>Precedents</w:t>
      </w:r>
    </w:p>
    <w:p w14:paraId="479A6FC7" w14:textId="77777777" w:rsidR="00E12D32" w:rsidRPr="00391EA0" w:rsidRDefault="00E12D32" w:rsidP="00F52825">
      <w:pPr>
        <w:pStyle w:val="Bulletsl"/>
        <w:spacing w:before="240" w:line="276" w:lineRule="auto"/>
        <w:rPr>
          <w:b/>
        </w:rPr>
      </w:pPr>
      <w:r>
        <w:rPr>
          <w:b/>
        </w:rPr>
        <w:t xml:space="preserve">First Amendment to the </w:t>
      </w:r>
      <w:r w:rsidRPr="00391EA0">
        <w:rPr>
          <w:b/>
        </w:rPr>
        <w:t xml:space="preserve">U.S. Constitution </w:t>
      </w:r>
    </w:p>
    <w:p w14:paraId="0ABEFBB0" w14:textId="77777777" w:rsidR="00E12D32" w:rsidRDefault="00E12D32" w:rsidP="00F52825">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14:paraId="5BCA52F9" w14:textId="77777777" w:rsidR="00E12D32" w:rsidRPr="008906FE" w:rsidRDefault="00E12D32" w:rsidP="00F52825">
      <w:pPr>
        <w:pStyle w:val="Bulletsl"/>
        <w:spacing w:before="240" w:line="276" w:lineRule="auto"/>
        <w:rPr>
          <w:bCs/>
        </w:rPr>
      </w:pPr>
      <w:r w:rsidRPr="008906FE">
        <w:rPr>
          <w:bCs/>
          <w:i/>
        </w:rPr>
        <w:t>West Virginia State Board of Education v. Barnette</w:t>
      </w:r>
      <w:r w:rsidRPr="008906FE">
        <w:rPr>
          <w:bCs/>
        </w:rPr>
        <w:t xml:space="preserve"> (1943)</w:t>
      </w:r>
    </w:p>
    <w:p w14:paraId="7BDDF198" w14:textId="77777777" w:rsidR="00E12D32" w:rsidRPr="00391EA0" w:rsidRDefault="00E12D32" w:rsidP="00F52825">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FE3FAF">
        <w:rPr>
          <w:i/>
          <w:iCs/>
          <w:color w:val="333333"/>
          <w:shd w:val="clear" w:color="auto" w:fill="FFFFFF"/>
        </w:rPr>
        <w:t xml:space="preserve">West Virginia State Board of Education v.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p>
    <w:p w14:paraId="0C8A5DF1" w14:textId="77777777" w:rsidR="00E12D32" w:rsidRPr="008906FE" w:rsidRDefault="00E12D32" w:rsidP="00F52825">
      <w:pPr>
        <w:pStyle w:val="Bulletsl"/>
        <w:spacing w:before="240" w:line="276" w:lineRule="auto"/>
        <w:rPr>
          <w:bCs/>
          <w:i/>
        </w:rPr>
      </w:pPr>
      <w:r w:rsidRPr="008906FE">
        <w:rPr>
          <w:bCs/>
          <w:i/>
        </w:rPr>
        <w:t xml:space="preserve">McCollum v. Board of Education </w:t>
      </w:r>
      <w:r w:rsidRPr="008906FE">
        <w:rPr>
          <w:bCs/>
        </w:rPr>
        <w:t>(1948)</w:t>
      </w:r>
    </w:p>
    <w:p w14:paraId="334294A2" w14:textId="77777777" w:rsidR="00E12D32" w:rsidRPr="00391EA0" w:rsidRDefault="00E12D32" w:rsidP="00F52825">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w:t>
      </w:r>
      <w:r>
        <w:rPr>
          <w:color w:val="333333"/>
          <w:shd w:val="clear" w:color="auto" w:fill="FFFFFF"/>
        </w:rPr>
        <w:t>C</w:t>
      </w:r>
      <w:r w:rsidRPr="00391EA0">
        <w:rPr>
          <w:color w:val="333333"/>
          <w:shd w:val="clear" w:color="auto" w:fill="FFFFFF"/>
        </w:rPr>
        <w:t>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14:paraId="1C4CD987" w14:textId="77777777" w:rsidR="00E12D32" w:rsidRPr="00F2075E" w:rsidRDefault="00E12D32" w:rsidP="00F52825">
      <w:pPr>
        <w:pStyle w:val="Subhead2sl"/>
        <w:spacing w:line="276" w:lineRule="auto"/>
      </w:pPr>
      <w:r w:rsidRPr="00F2075E">
        <w:t>Arguments for Engel</w:t>
      </w:r>
      <w:r>
        <w:t xml:space="preserve"> (petitioner)</w:t>
      </w:r>
    </w:p>
    <w:p w14:paraId="4B41DF3E" w14:textId="77777777" w:rsidR="00E12D32" w:rsidRPr="00882E1D" w:rsidRDefault="00E12D32" w:rsidP="00F52825">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14:paraId="391E2723" w14:textId="77777777" w:rsidR="00E12D32" w:rsidRPr="00882E1D" w:rsidRDefault="00E12D32" w:rsidP="00F52825">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w:t>
      </w:r>
      <w:r>
        <w:t xml:space="preserve">even </w:t>
      </w:r>
      <w:r w:rsidRPr="00882E1D">
        <w:t xml:space="preserve">if the prayer conflicts with their beliefs. </w:t>
      </w:r>
    </w:p>
    <w:p w14:paraId="54D04CD8" w14:textId="77777777" w:rsidR="00E12D32" w:rsidRPr="004C64A1" w:rsidRDefault="00E12D32" w:rsidP="00F52825">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14:paraId="5620E038" w14:textId="77777777" w:rsidR="00E12D32" w:rsidRPr="004C64A1" w:rsidRDefault="00E12D32" w:rsidP="00F52825">
      <w:pPr>
        <w:pStyle w:val="Bulletsl"/>
        <w:spacing w:line="276" w:lineRule="auto"/>
      </w:pPr>
      <w:r w:rsidRPr="004C64A1">
        <w:lastRenderedPageBreak/>
        <w:t>Although the prayer is voluntary, few parents or students would choose not to participate</w:t>
      </w:r>
      <w:r>
        <w:t>,</w:t>
      </w:r>
      <w:r w:rsidRPr="004C64A1">
        <w:t xml:space="preserve"> because students would be singled out for their religious </w:t>
      </w:r>
      <w:r>
        <w:t xml:space="preserve">(or non-religious) </w:t>
      </w:r>
      <w:r w:rsidRPr="004C64A1">
        <w:t xml:space="preserve">beliefs. </w:t>
      </w:r>
    </w:p>
    <w:p w14:paraId="4646B7CF" w14:textId="77777777" w:rsidR="00E12D32" w:rsidRPr="004C64A1" w:rsidRDefault="00E12D32" w:rsidP="00F52825">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14:paraId="22065685" w14:textId="77777777" w:rsidR="00E12D32" w:rsidRPr="00F2075E" w:rsidRDefault="00E12D32" w:rsidP="00F52825">
      <w:pPr>
        <w:pStyle w:val="Subhead2sl"/>
        <w:spacing w:line="276" w:lineRule="auto"/>
      </w:pPr>
      <w:r w:rsidRPr="00F2075E">
        <w:t>Arguments for Vitale</w:t>
      </w:r>
      <w:r>
        <w:t xml:space="preserve"> (respondent)</w:t>
      </w:r>
    </w:p>
    <w:p w14:paraId="6831E961" w14:textId="77777777" w:rsidR="00E12D32" w:rsidRPr="00391EA0" w:rsidRDefault="00E12D32" w:rsidP="00F52825">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r>
        <w:t>s</w:t>
      </w:r>
      <w:r w:rsidRPr="00391EA0">
        <w:t xml:space="preserve">upreme </w:t>
      </w:r>
      <w:r>
        <w:t>b</w:t>
      </w:r>
      <w:r w:rsidRPr="00391EA0">
        <w:t xml:space="preserve">eing or God. In the Declaration of Independence, there are four references to the </w:t>
      </w:r>
      <w:r>
        <w:t>Creator</w:t>
      </w:r>
      <w:r w:rsidRPr="00391EA0">
        <w:t xml:space="preserve"> who endowed humans with “unalienable rights.” Congress opens its session with a prayer, and presidents often conclude speeches with “God bless the United States of America.” </w:t>
      </w:r>
    </w:p>
    <w:p w14:paraId="5DD32FDD" w14:textId="77777777" w:rsidR="00E12D32" w:rsidRPr="00391EA0" w:rsidRDefault="00E12D32" w:rsidP="00F52825">
      <w:pPr>
        <w:pStyle w:val="Bulletsl"/>
        <w:spacing w:line="276" w:lineRule="auto"/>
      </w:pPr>
      <w:r w:rsidRPr="00391EA0">
        <w:t>The New York schools’ prayer is a</w:t>
      </w:r>
      <w:r>
        <w:t xml:space="preserve"> recognition of this broad religious tradition</w:t>
      </w:r>
      <w:r w:rsidRPr="00391EA0">
        <w:t xml:space="preserve">. It is non-denominational and does not imply preference of any one religion over others. </w:t>
      </w:r>
    </w:p>
    <w:p w14:paraId="09E01445" w14:textId="77777777" w:rsidR="00E12D32" w:rsidRPr="00391EA0" w:rsidRDefault="00E12D32" w:rsidP="00F52825">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14:paraId="74764C84" w14:textId="77777777" w:rsidR="00E12D32" w:rsidRPr="00391EA0" w:rsidRDefault="00E12D32" w:rsidP="00F52825">
      <w:pPr>
        <w:pStyle w:val="Bulletsl"/>
        <w:spacing w:line="276" w:lineRule="auto"/>
      </w:pPr>
      <w:r w:rsidRPr="00391EA0">
        <w:t>The New York Regents</w:t>
      </w:r>
      <w:r>
        <w:t>’</w:t>
      </w:r>
      <w:r w:rsidRPr="00391EA0">
        <w:t xml:space="preserve"> prayer is voluntary, not mandatory. Any child could remain silent or be excused by parental request with </w:t>
      </w:r>
      <w:r>
        <w:t xml:space="preserve">the </w:t>
      </w:r>
      <w:r w:rsidRPr="00391EA0">
        <w:t>principal</w:t>
      </w:r>
      <w:r>
        <w:t>’s</w:t>
      </w:r>
      <w:r w:rsidRPr="00391EA0">
        <w:t xml:space="preserve"> approval. </w:t>
      </w:r>
    </w:p>
    <w:p w14:paraId="79625FA8" w14:textId="77777777" w:rsidR="00E12D32" w:rsidRPr="00391EA0" w:rsidRDefault="00E12D32" w:rsidP="00F52825">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 xml:space="preserve">the Supreme Court did not strike </w:t>
      </w:r>
      <w:r>
        <w:t xml:space="preserve">down </w:t>
      </w:r>
      <w:r w:rsidRPr="00391EA0">
        <w:t>references to God as violations of the First Amendment.</w:t>
      </w:r>
    </w:p>
    <w:p w14:paraId="4DFCAC09" w14:textId="77777777" w:rsidR="00E12D32" w:rsidRPr="00F2075E" w:rsidRDefault="00E12D32" w:rsidP="00F52825">
      <w:pPr>
        <w:pStyle w:val="Subhead2sl"/>
        <w:spacing w:line="276" w:lineRule="auto"/>
      </w:pPr>
      <w:r w:rsidRPr="00F2075E">
        <w:t xml:space="preserve">Decision </w:t>
      </w:r>
    </w:p>
    <w:p w14:paraId="7160C6C8" w14:textId="1A171114" w:rsidR="00E12D32" w:rsidRPr="00F2075E" w:rsidRDefault="00E12D32" w:rsidP="00F52825">
      <w:pPr>
        <w:pStyle w:val="Basiccopysl"/>
      </w:pPr>
      <w:r w:rsidRPr="00F2075E">
        <w:t>The Supreme Court ruled</w:t>
      </w:r>
      <w:r>
        <w:t>,</w:t>
      </w:r>
      <w:r w:rsidRPr="00F2075E">
        <w:t xml:space="preserve"> 6</w:t>
      </w:r>
      <w:r w:rsidR="00211230">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Douglas filed his own concurring opinion.  Justice Stewart dissented.</w:t>
      </w:r>
    </w:p>
    <w:p w14:paraId="28B6EDFA" w14:textId="77777777" w:rsidR="00E12D32" w:rsidRPr="004C64A1" w:rsidRDefault="00E12D32" w:rsidP="00F52825">
      <w:pPr>
        <w:pStyle w:val="Subhead3sl"/>
      </w:pPr>
      <w:r w:rsidRPr="004C64A1">
        <w:t>Majority</w:t>
      </w:r>
    </w:p>
    <w:p w14:paraId="0CD46B76" w14:textId="77777777" w:rsidR="00E12D32" w:rsidRDefault="00E12D32" w:rsidP="00F52825">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 xml:space="preserve">was </w:t>
      </w:r>
      <w:r>
        <w:t xml:space="preserve">found to be </w:t>
      </w:r>
      <w:r w:rsidRPr="00F2075E">
        <w:t>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argument that the state-sponsored prayer was not an “establishment of religion” simply because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 xml:space="preserve">this very practice of establishing </w:t>
      </w:r>
      <w:r w:rsidRPr="00F2075E">
        <w:rPr>
          <w:shd w:val="clear" w:color="auto" w:fill="FFFFFF"/>
        </w:rPr>
        <w:lastRenderedPageBreak/>
        <w:t>governmentally composed prayers for religious services was one of the reasons which caused many of our early colonists to leave England and seek religious freedom in America.”</w:t>
      </w:r>
      <w:r>
        <w:rPr>
          <w:shd w:val="clear" w:color="auto" w:fill="FFFFFF"/>
        </w:rPr>
        <w:t xml:space="preserve"> The Court also explained that, while the most obvious effect of the Establishment Clause was to prevent the government from setting up a particular religious sect or church as the “official” church, its underlying objective is broader: </w:t>
      </w:r>
    </w:p>
    <w:p w14:paraId="4C2B46F6" w14:textId="77777777" w:rsidR="00E12D32" w:rsidRDefault="00E12D32" w:rsidP="00F52825">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14:paraId="334E34F1" w14:textId="77777777" w:rsidR="00E12D32" w:rsidRDefault="00E12D32" w:rsidP="00F52825">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14:paraId="5A51D8C4" w14:textId="77777777" w:rsidR="00E12D32" w:rsidRPr="00F2075E" w:rsidRDefault="00E12D32" w:rsidP="00F52825">
      <w:pPr>
        <w:pStyle w:val="Subhead3sl"/>
      </w:pPr>
      <w:r w:rsidRPr="00F2075E">
        <w:t>Dissent</w:t>
      </w:r>
    </w:p>
    <w:p w14:paraId="10F5C188" w14:textId="77777777" w:rsidR="00E12D32" w:rsidRPr="00AE315F" w:rsidRDefault="00E12D32" w:rsidP="00F52825">
      <w:pPr>
        <w:pStyle w:val="Basiccopysl"/>
        <w:rPr>
          <w:rFonts w:ascii="Gill Sans MT" w:hAnsi="Gill Sans MT"/>
          <w:b/>
          <w:bCs/>
          <w:i/>
          <w:iCs/>
        </w:rPr>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w:t>
      </w:r>
      <w:r>
        <w:t xml:space="preserve">As part of his argument, Justice </w:t>
      </w:r>
      <w:r w:rsidRPr="00391EA0">
        <w:t>Stewart described the history of religious traditions</w:t>
      </w:r>
      <w:r>
        <w:t xml:space="preserve"> </w:t>
      </w:r>
      <w:r w:rsidRPr="00391EA0">
        <w:t xml:space="preserve">in American government, from </w:t>
      </w:r>
      <w:r>
        <w:t>opening with</w:t>
      </w:r>
      <w:r w:rsidRPr="00391EA0">
        <w:t xml:space="preserve"> “God save the United States and this Honorable Court” at the </w:t>
      </w:r>
      <w:r>
        <w:t xml:space="preserve">beginning </w:t>
      </w:r>
      <w:r w:rsidRPr="00391EA0">
        <w:t xml:space="preserve">of each Supreme Court session to the references to God in the </w:t>
      </w:r>
      <w:r>
        <w:t>“</w:t>
      </w:r>
      <w:r w:rsidRPr="00391EA0">
        <w:t>Star-Spangled Banner</w:t>
      </w:r>
      <w:r>
        <w:t xml:space="preserve">” and on U.S. currency. </w:t>
      </w:r>
      <w:r w:rsidRPr="3DB15AF8">
        <w:rPr>
          <w:rFonts w:eastAsia="Garamond" w:cs="Garamond"/>
        </w:rPr>
        <w:t xml:space="preserve">According to Justice Stewart, neither these practices nor New York’s school prayer </w:t>
      </w:r>
      <w:r w:rsidRPr="00391EA0">
        <w:t>established an “official religion</w:t>
      </w:r>
      <w:r>
        <w:t>.</w:t>
      </w:r>
      <w:r w:rsidRPr="00391EA0">
        <w:t xml:space="preserve">” </w:t>
      </w:r>
      <w:r>
        <w:rPr>
          <w:rFonts w:eastAsia="Garamond" w:cs="Garamond"/>
        </w:rPr>
        <w:t>T</w:t>
      </w:r>
      <w:r w:rsidRPr="3DB15AF8">
        <w:rPr>
          <w:rFonts w:eastAsia="Garamond" w:cs="Garamond"/>
        </w:rPr>
        <w:t xml:space="preserve">hey merely continued long-standing American traditions. </w:t>
      </w:r>
      <w:r>
        <w:rPr>
          <w:rFonts w:eastAsia="Garamond" w:cs="Garamond"/>
        </w:rPr>
        <w:t xml:space="preserve">Justice </w:t>
      </w:r>
      <w:r w:rsidRPr="00391EA0">
        <w:t xml:space="preserve">Stewart argued that the Establishment Clause was meant to keep the government from forming a state-sponsored church (like the Church of England), not </w:t>
      </w:r>
      <w:r>
        <w:t xml:space="preserve">to </w:t>
      </w:r>
      <w:r w:rsidRPr="00391EA0">
        <w:t xml:space="preserve">prohibit </w:t>
      </w:r>
      <w:r>
        <w:t>all</w:t>
      </w:r>
      <w:r w:rsidRPr="00391EA0">
        <w:t xml:space="preserve"> government involvement with religion. </w:t>
      </w:r>
    </w:p>
    <w:p w14:paraId="3F0E2837" w14:textId="77777777" w:rsidR="00E12D32" w:rsidRPr="00AE315F" w:rsidRDefault="00E12D32" w:rsidP="00F52825">
      <w:pPr>
        <w:pStyle w:val="Basiccopysl"/>
        <w:spacing w:before="360"/>
        <w:rPr>
          <w:rFonts w:ascii="Gill Sans MT" w:hAnsi="Gill Sans MT"/>
          <w:b/>
          <w:bCs/>
          <w:i/>
          <w:iCs/>
        </w:rPr>
      </w:pPr>
      <w:r w:rsidRPr="00AE315F">
        <w:rPr>
          <w:rFonts w:ascii="Gill Sans MT" w:hAnsi="Gill Sans MT"/>
          <w:b/>
          <w:bCs/>
          <w:i/>
          <w:iCs/>
        </w:rPr>
        <w:t>Impact</w:t>
      </w:r>
    </w:p>
    <w:p w14:paraId="1D29AD75" w14:textId="77777777" w:rsidR="00E12D32" w:rsidRDefault="00E12D32" w:rsidP="00F52825">
      <w:pPr>
        <w:spacing w:after="120" w:line="276" w:lineRule="auto"/>
      </w:pPr>
      <w:r>
        <w:t xml:space="preserve">Before </w:t>
      </w:r>
      <w:r>
        <w:rPr>
          <w:i/>
          <w:iCs/>
        </w:rPr>
        <w:t>Engel v. Vitale</w:t>
      </w:r>
      <w:r>
        <w:t xml:space="preserve"> was decided, it was common for schools to start the day with a non-denominational prayer. The Court’s decision in this case ended that practice in public schools. Later cases expanded the precedent set in </w:t>
      </w:r>
      <w:r>
        <w:rPr>
          <w:i/>
          <w:iCs/>
        </w:rPr>
        <w:t>Engel</w:t>
      </w:r>
      <w:r>
        <w:t xml:space="preserve"> to other circumstances, prohibiting organized prayer at school events like football games and graduation ceremonies. </w:t>
      </w:r>
    </w:p>
    <w:p w14:paraId="62F0356C" w14:textId="77777777" w:rsidR="00E12D32" w:rsidRPr="00F37245" w:rsidRDefault="00E12D32" w:rsidP="00F52825">
      <w:pPr>
        <w:spacing w:after="480" w:line="276" w:lineRule="auto"/>
      </w:pPr>
      <w:r>
        <w:rPr>
          <w:i/>
          <w:iCs/>
        </w:rPr>
        <w:t>Engel v. Vitale</w:t>
      </w:r>
      <w:r>
        <w:t xml:space="preserve"> remains controversial. Some people blame problems in society on the lack of prayer in public schools. However, </w:t>
      </w:r>
      <w:r>
        <w:rPr>
          <w:i/>
          <w:iCs/>
        </w:rPr>
        <w:t>Engel</w:t>
      </w:r>
      <w:r>
        <w:t xml:space="preserve"> only banned school-led prayer; students remain free to pray by themselves or in groups providing it does not disrupt classroom instruction or the educational mission of the school.</w:t>
      </w:r>
    </w:p>
    <w:tbl>
      <w:tblPr>
        <w:tblStyle w:val="TableGrid"/>
        <w:tblW w:w="0" w:type="auto"/>
        <w:tblLook w:val="04A0" w:firstRow="1" w:lastRow="0" w:firstColumn="1" w:lastColumn="0" w:noHBand="0" w:noVBand="1"/>
      </w:tblPr>
      <w:tblGrid>
        <w:gridCol w:w="9350"/>
      </w:tblGrid>
      <w:tr w:rsidR="00E12D32" w14:paraId="57306F9B" w14:textId="77777777" w:rsidTr="00E12D32">
        <w:tc>
          <w:tcPr>
            <w:tcW w:w="9350" w:type="dxa"/>
            <w:shd w:val="clear" w:color="auto" w:fill="F2F2F2" w:themeFill="background1" w:themeFillShade="F2"/>
          </w:tcPr>
          <w:p w14:paraId="343E5ADC" w14:textId="77777777" w:rsidR="00E12D32" w:rsidRDefault="00E12D32" w:rsidP="00F52825">
            <w:pPr>
              <w:pStyle w:val="Basiccopysl"/>
              <w:spacing w:before="120"/>
            </w:pPr>
            <w:r>
              <w:lastRenderedPageBreak/>
              <w:t xml:space="preserve">Additional information about </w:t>
            </w:r>
            <w:r w:rsidRPr="008906FE">
              <w:rPr>
                <w:i/>
                <w:iCs/>
              </w:rPr>
              <w:t>Engel v. Vitale,</w:t>
            </w:r>
            <w:r>
              <w:t xml:space="preserve"> including background at three reading levels, opinion quotes and summaries, teaching activities, and additional resources, can be found at </w:t>
            </w:r>
            <w:hyperlink r:id="rId26" w:history="1">
              <w:r w:rsidRPr="00E73DD3">
                <w:rPr>
                  <w:rStyle w:val="Hyperlink"/>
                  <w:color w:val="auto"/>
                </w:rPr>
                <w:t>https://www.landmarkcases.org/</w:t>
              </w:r>
            </w:hyperlink>
            <w:r w:rsidRPr="00E73DD3">
              <w:t>.</w:t>
            </w:r>
          </w:p>
        </w:tc>
      </w:tr>
    </w:tbl>
    <w:p w14:paraId="7836644C" w14:textId="77777777" w:rsidR="00E12D32" w:rsidRPr="00391EA0" w:rsidRDefault="00E12D32" w:rsidP="00F52825">
      <w:pPr>
        <w:pStyle w:val="Basiccopysl"/>
      </w:pPr>
    </w:p>
    <w:p w14:paraId="3798DFDE" w14:textId="77777777" w:rsidR="00E12D32" w:rsidRDefault="00E12D32" w:rsidP="00F52825">
      <w:pPr>
        <w:pStyle w:val="Heading1"/>
        <w:spacing w:line="276" w:lineRule="auto"/>
        <w:sectPr w:rsidR="00E12D32" w:rsidSect="00F42CDF">
          <w:headerReference w:type="default" r:id="rId27"/>
          <w:footerReference w:type="first" r:id="rId28"/>
          <w:footnotePr>
            <w:numFmt w:val="chicago"/>
          </w:footnotePr>
          <w:pgSz w:w="12240" w:h="15840"/>
          <w:pgMar w:top="1440" w:right="1440" w:bottom="1440" w:left="1440" w:header="720" w:footer="720" w:gutter="0"/>
          <w:cols w:space="720"/>
          <w:titlePg/>
          <w:docGrid w:linePitch="360"/>
        </w:sectPr>
      </w:pPr>
    </w:p>
    <w:p w14:paraId="3D4E5160" w14:textId="77777777" w:rsidR="00810E29" w:rsidRPr="00810E29" w:rsidRDefault="00810E29" w:rsidP="00F52825">
      <w:pPr>
        <w:spacing w:after="0" w:line="276" w:lineRule="auto"/>
        <w:rPr>
          <w:sz w:val="12"/>
          <w:szCs w:val="10"/>
        </w:rPr>
      </w:pPr>
    </w:p>
    <w:p w14:paraId="0BA94912" w14:textId="0455AB82" w:rsidR="00E12D32" w:rsidRPr="00F42CDF" w:rsidRDefault="00E12D32" w:rsidP="00CC30C5">
      <w:pPr>
        <w:pStyle w:val="Heading1"/>
        <w:rPr>
          <w:color w:val="000000"/>
        </w:rPr>
      </w:pPr>
      <w:bookmarkStart w:id="4" w:name="_Toc80619874"/>
      <w:r>
        <w:t xml:space="preserve">Gideon v. Wainwright </w:t>
      </w:r>
      <w:r w:rsidRPr="00CC30C5">
        <w:rPr>
          <w:i w:val="0"/>
          <w:iCs w:val="0"/>
        </w:rPr>
        <w:t>(1963)</w:t>
      </w:r>
      <w:bookmarkEnd w:id="4"/>
    </w:p>
    <w:p w14:paraId="7864F161" w14:textId="77777777" w:rsidR="00E12D32" w:rsidRPr="00F42CDF" w:rsidRDefault="00E12D32" w:rsidP="00F52825">
      <w:pPr>
        <w:pStyle w:val="Basiccopysl"/>
        <w:jc w:val="center"/>
      </w:pPr>
      <w:r w:rsidRPr="00F42CDF">
        <w:rPr>
          <w:b/>
        </w:rPr>
        <w:t>Argued:</w:t>
      </w:r>
      <w:r w:rsidRPr="00F42CDF">
        <w:t xml:space="preserve"> </w:t>
      </w:r>
      <w:r>
        <w:t>January 15, 1963</w:t>
      </w:r>
    </w:p>
    <w:p w14:paraId="538D1F22" w14:textId="77777777" w:rsidR="00E12D32" w:rsidRPr="00F42CDF" w:rsidRDefault="00E12D32" w:rsidP="00F52825">
      <w:pPr>
        <w:pStyle w:val="Basiccopysl"/>
        <w:jc w:val="center"/>
      </w:pPr>
      <w:r w:rsidRPr="00F42CDF">
        <w:rPr>
          <w:b/>
        </w:rPr>
        <w:t>Decided:</w:t>
      </w:r>
      <w:r w:rsidRPr="00F42CDF">
        <w:t xml:space="preserve"> </w:t>
      </w:r>
      <w:r>
        <w:t>March 16, 1963</w:t>
      </w:r>
    </w:p>
    <w:p w14:paraId="67F02FCB" w14:textId="77777777" w:rsidR="00E12D32" w:rsidRPr="00ED3234" w:rsidRDefault="00E12D32" w:rsidP="00F52825">
      <w:pPr>
        <w:pStyle w:val="Subhead2sl"/>
        <w:spacing w:line="276" w:lineRule="auto"/>
      </w:pPr>
      <w:r w:rsidRPr="00ED3234">
        <w:t>Background</w:t>
      </w:r>
    </w:p>
    <w:p w14:paraId="046673CA" w14:textId="77777777" w:rsidR="00E12D32" w:rsidRDefault="00E12D32" w:rsidP="00F52825">
      <w:pPr>
        <w:pStyle w:val="Basiccopysl"/>
      </w:pPr>
      <w:r>
        <w:t>Part of the Bill of Rights,</w:t>
      </w:r>
      <w:r w:rsidRPr="003F3D2D">
        <w:t xml:space="preserve"> </w:t>
      </w:r>
      <w:r>
        <w:t>t</w:t>
      </w:r>
      <w:r w:rsidRPr="003F3D2D">
        <w:t xml:space="preserve">he Sixth Amendment </w:t>
      </w:r>
      <w:r>
        <w:t xml:space="preserve">to the U.S. Constitution protects the rights of people accused of crimes. Among these protections is the right to have a criminal defense lawyer’s assistance. That means that the government cannot prevent someone from consulting with a lawyer and having a lawyer represent them in court. Not everyone who has been accused of a crime, however, can afford to hire a lawyer. In 1938, the U.S. Supreme Court ruled that, in federal criminal courts, the government must pay for a lawyer for </w:t>
      </w:r>
      <w:r w:rsidRPr="00152AEE">
        <w:t>indigent</w:t>
      </w:r>
      <w:r>
        <w:t xml:space="preserve"> defendants who cannot afford one themselves. People are considered indigent if they are so poor that they are unable to afford the necessities of life like food and shelter. </w:t>
      </w:r>
      <w:r>
        <w:rPr>
          <w:i/>
        </w:rPr>
        <w:t>Gideon v. Wainwright</w:t>
      </w:r>
      <w:r>
        <w:t xml:space="preserve"> is a case about whether or not that right must also be extended to indigent defendants charged with crimes in state courts, where most crimes are prosecuted. </w:t>
      </w:r>
    </w:p>
    <w:p w14:paraId="6974B537" w14:textId="77777777" w:rsidR="00E12D32" w:rsidRDefault="00E12D32" w:rsidP="00F52825">
      <w:pPr>
        <w:pStyle w:val="Basiccopysl"/>
      </w:pPr>
      <w:r>
        <w:t>The 14</w:t>
      </w:r>
      <w:r w:rsidRPr="00417215">
        <w:rPr>
          <w:vertAlign w:val="superscript"/>
        </w:rPr>
        <w:t>th</w:t>
      </w:r>
      <w:r>
        <w:t xml:space="preserve">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the concept of liberty (protected by the 14</w:t>
      </w:r>
      <w:r w:rsidRPr="00417215">
        <w:rPr>
          <w:vertAlign w:val="superscript"/>
        </w:rPr>
        <w:t>th</w:t>
      </w:r>
      <w:r>
        <w:t xml:space="preserve"> Amendment) that they must also apply to state governments. In 1963, the Supreme Court reconsidered whether, in criminal cases, the right to counsel paid for by the government was one of those fundamental rights, even though it had held the opposite only 21 years before. </w:t>
      </w:r>
    </w:p>
    <w:p w14:paraId="3D58FEF5" w14:textId="77777777" w:rsidR="00E12D32" w:rsidRPr="00ED3234" w:rsidRDefault="00E12D32" w:rsidP="00F52825">
      <w:pPr>
        <w:pStyle w:val="Subhead2sl"/>
        <w:spacing w:line="276" w:lineRule="auto"/>
      </w:pPr>
      <w:r w:rsidRPr="00ED3234">
        <w:t>Facts</w:t>
      </w:r>
    </w:p>
    <w:p w14:paraId="1A39E023" w14:textId="77777777" w:rsidR="00E12D32" w:rsidRDefault="00E12D32" w:rsidP="00F52825">
      <w:pPr>
        <w:pStyle w:val="Basiccopysl"/>
        <w:rPr>
          <w:shd w:val="clear" w:color="auto" w:fill="FFFFFF"/>
        </w:rPr>
      </w:pPr>
      <w:r w:rsidRPr="003F3D2D">
        <w:rPr>
          <w:shd w:val="clear" w:color="auto" w:fill="FFFFFF"/>
        </w:rPr>
        <w:t xml:space="preserve">In 1961, </w:t>
      </w:r>
      <w:r>
        <w:rPr>
          <w:shd w:val="clear" w:color="auto" w:fill="FFFFFF"/>
        </w:rPr>
        <w:t>someone burglarized</w:t>
      </w:r>
      <w:r w:rsidRPr="003F3D2D">
        <w:rPr>
          <w:shd w:val="clear" w:color="auto" w:fill="FFFFFF"/>
        </w:rPr>
        <w:t xml:space="preserve"> the Bay Harbor Pool Room in Panama City, Florida.</w:t>
      </w:r>
      <w:r>
        <w:rPr>
          <w:shd w:val="clear" w:color="auto" w:fill="FFFFFF"/>
        </w:rPr>
        <w:t xml:space="preserve"> Based partly on eyewitness reports, p</w:t>
      </w:r>
      <w:r w:rsidRPr="003F3D2D">
        <w:rPr>
          <w:shd w:val="clear" w:color="auto" w:fill="FFFFFF"/>
        </w:rPr>
        <w:t xml:space="preserve">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The judge denied his request</w:t>
      </w:r>
      <w:r>
        <w:rPr>
          <w:shd w:val="clear" w:color="auto" w:fill="FFFFFF"/>
        </w:rPr>
        <w:t xml:space="preserve">. At that time </w:t>
      </w:r>
      <w:r w:rsidRPr="003F3D2D">
        <w:rPr>
          <w:shd w:val="clear" w:color="auto" w:fill="FFFFFF"/>
        </w:rPr>
        <w:t>Florida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but the jury </w:t>
      </w:r>
      <w:r w:rsidRPr="003F3D2D">
        <w:rPr>
          <w:shd w:val="clear" w:color="auto" w:fill="FFFFFF"/>
        </w:rPr>
        <w:t xml:space="preserve">found </w:t>
      </w:r>
      <w:r>
        <w:rPr>
          <w:shd w:val="clear" w:color="auto" w:fill="FFFFFF"/>
        </w:rPr>
        <w:t xml:space="preserve">him </w:t>
      </w:r>
      <w:r w:rsidRPr="003F3D2D">
        <w:rPr>
          <w:shd w:val="clear" w:color="auto" w:fill="FFFFFF"/>
        </w:rPr>
        <w:t>guilty of breaking and entering and petty larceny</w:t>
      </w:r>
      <w:r>
        <w:rPr>
          <w:shd w:val="clear" w:color="auto" w:fill="FFFFFF"/>
        </w:rPr>
        <w:t>, which are felonies under Florida law</w:t>
      </w:r>
      <w:r w:rsidRPr="003F3D2D">
        <w:rPr>
          <w:shd w:val="clear" w:color="auto" w:fill="FFFFFF"/>
        </w:rPr>
        <w:t xml:space="preserve">. </w:t>
      </w:r>
    </w:p>
    <w:p w14:paraId="39585E1B" w14:textId="77777777" w:rsidR="00E12D32" w:rsidRDefault="00E12D32" w:rsidP="00F52825">
      <w:pPr>
        <w:pStyle w:val="Basiccopysl"/>
        <w:rPr>
          <w:shd w:val="clear" w:color="auto" w:fill="FFFFFF"/>
        </w:rPr>
      </w:pPr>
      <w:r w:rsidRPr="003F3D2D">
        <w:rPr>
          <w:shd w:val="clear" w:color="auto" w:fill="FFFFFF"/>
        </w:rPr>
        <w:t>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 xml:space="preserve">he was improperly imprisoned because he had been refused </w:t>
      </w:r>
      <w:r>
        <w:rPr>
          <w:shd w:val="clear" w:color="auto" w:fill="FFFFFF"/>
        </w:rPr>
        <w:t>a free lawyer</w:t>
      </w:r>
      <w:r w:rsidRPr="003F3D2D">
        <w:rPr>
          <w:shd w:val="clear" w:color="auto" w:fill="FFFFFF"/>
        </w:rPr>
        <w:t xml:space="preserve">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 xml:space="preserve">ruled against </w:t>
      </w:r>
      <w:r>
        <w:rPr>
          <w:shd w:val="clear" w:color="auto" w:fill="FFFFFF"/>
        </w:rPr>
        <w:lastRenderedPageBreak/>
        <w:t>him</w:t>
      </w:r>
      <w:r w:rsidRPr="003F3D2D">
        <w:rPr>
          <w:shd w:val="clear" w:color="auto" w:fill="FFFFFF"/>
        </w:rPr>
        <w:t xml:space="preserve">. From his prison cell, Gideon </w:t>
      </w:r>
      <w:r>
        <w:rPr>
          <w:shd w:val="clear" w:color="auto" w:fill="FFFFFF"/>
        </w:rPr>
        <w:t>hand-</w:t>
      </w:r>
      <w:r w:rsidRPr="003F3D2D">
        <w:rPr>
          <w:shd w:val="clear" w:color="auto" w:fill="FFFFFF"/>
        </w:rPr>
        <w:t xml:space="preserve">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w:t>
      </w:r>
      <w:r>
        <w:rPr>
          <w:shd w:val="clear" w:color="auto" w:fill="FFFFFF"/>
        </w:rPr>
        <w:t>and appointed lawyer Abe Fortas, who was later named as a justice to the Supreme Court, to argue on his behalf</w:t>
      </w:r>
      <w:r w:rsidRPr="003F3D2D">
        <w:rPr>
          <w:shd w:val="clear" w:color="auto" w:fill="FFFFFF"/>
        </w:rPr>
        <w:t>.</w:t>
      </w:r>
    </w:p>
    <w:p w14:paraId="0E1EFEEA" w14:textId="77777777" w:rsidR="00E12D32" w:rsidRPr="00ED3234" w:rsidRDefault="00E12D32" w:rsidP="00F52825">
      <w:pPr>
        <w:pStyle w:val="Subhead2sl"/>
        <w:spacing w:line="276" w:lineRule="auto"/>
      </w:pPr>
      <w:r w:rsidRPr="00ED3234">
        <w:t>Issue</w:t>
      </w:r>
    </w:p>
    <w:p w14:paraId="562606F6" w14:textId="77777777" w:rsidR="00E12D32" w:rsidRDefault="00E12D32" w:rsidP="00F52825">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14:paraId="0BE5EECD" w14:textId="77777777" w:rsidR="00E12D32" w:rsidRDefault="00E12D32" w:rsidP="00F52825">
      <w:pPr>
        <w:pStyle w:val="Heading2"/>
        <w:spacing w:line="276" w:lineRule="auto"/>
      </w:pPr>
      <w:r w:rsidRPr="00ED3234">
        <w:t xml:space="preserve">Constitutional </w:t>
      </w:r>
      <w:r>
        <w:t>Amendments</w:t>
      </w:r>
      <w:r w:rsidRPr="00ED3234">
        <w:t xml:space="preserve"> and </w:t>
      </w:r>
      <w:r>
        <w:t xml:space="preserve">Supreme Court </w:t>
      </w:r>
      <w:r w:rsidRPr="00ED3234">
        <w:t>Precedents</w:t>
      </w:r>
    </w:p>
    <w:p w14:paraId="0F06E360" w14:textId="77777777" w:rsidR="00E12D32" w:rsidRPr="00A06F2D" w:rsidRDefault="00E12D32" w:rsidP="00F52825">
      <w:pPr>
        <w:pStyle w:val="Bulletsl"/>
        <w:spacing w:before="240" w:line="276" w:lineRule="auto"/>
        <w:rPr>
          <w:rFonts w:asciiTheme="minorHAnsi" w:hAnsiTheme="minorHAnsi"/>
          <w:b/>
          <w:sz w:val="22"/>
          <w:szCs w:val="22"/>
        </w:rPr>
      </w:pPr>
      <w:r>
        <w:rPr>
          <w:b/>
        </w:rPr>
        <w:t xml:space="preserve">Sixth Amendment to the </w:t>
      </w:r>
      <w:r w:rsidRPr="00A06F2D">
        <w:rPr>
          <w:b/>
        </w:rPr>
        <w:t>U.S. Constitution</w:t>
      </w:r>
    </w:p>
    <w:p w14:paraId="164D967F" w14:textId="77777777" w:rsidR="00E12D32" w:rsidRDefault="00E12D32" w:rsidP="00F52825">
      <w:pPr>
        <w:pStyle w:val="Basiccopysl"/>
        <w:ind w:left="720"/>
      </w:pPr>
      <w:r w:rsidRPr="00ED3234">
        <w:t>“In all criminal prosecutions, the accused shall enjoy the right . . . to have the Assistance of Counsel for his defense.”</w:t>
      </w:r>
    </w:p>
    <w:p w14:paraId="39933797" w14:textId="77777777" w:rsidR="00E12D32" w:rsidRPr="00A06F2D" w:rsidRDefault="00E12D32" w:rsidP="00F52825">
      <w:pPr>
        <w:pStyle w:val="Bulletsl"/>
        <w:spacing w:before="240" w:line="276" w:lineRule="auto"/>
        <w:rPr>
          <w:b/>
        </w:rPr>
      </w:pPr>
      <w:r>
        <w:rPr>
          <w:b/>
        </w:rPr>
        <w:t>14</w:t>
      </w:r>
      <w:r w:rsidRPr="00D63238">
        <w:rPr>
          <w:b/>
          <w:vertAlign w:val="superscript"/>
        </w:rPr>
        <w:t>th</w:t>
      </w:r>
      <w:r>
        <w:rPr>
          <w:b/>
        </w:rPr>
        <w:t xml:space="preserve"> Amendment to the </w:t>
      </w:r>
      <w:r w:rsidRPr="00A06F2D">
        <w:rPr>
          <w:b/>
        </w:rPr>
        <w:t>U.S. Constitution</w:t>
      </w:r>
    </w:p>
    <w:p w14:paraId="5FC87132" w14:textId="77777777" w:rsidR="00E12D32" w:rsidRPr="00A06F2D" w:rsidRDefault="00E12D32" w:rsidP="00F52825">
      <w:pPr>
        <w:pStyle w:val="Basiccopysl"/>
        <w:ind w:left="720"/>
      </w:pPr>
      <w:r w:rsidRPr="00A06F2D">
        <w:t>“…nor shall any State deprive any person of life, liberty, or property, without due process of law….”</w:t>
      </w:r>
    </w:p>
    <w:p w14:paraId="27AB8719" w14:textId="77777777" w:rsidR="00E12D32" w:rsidRPr="008906FE" w:rsidRDefault="00E12D32" w:rsidP="00F52825">
      <w:pPr>
        <w:pStyle w:val="Bulletsl"/>
        <w:spacing w:before="240" w:line="276" w:lineRule="auto"/>
        <w:rPr>
          <w:bCs/>
        </w:rPr>
      </w:pPr>
      <w:r w:rsidRPr="008906FE">
        <w:rPr>
          <w:bCs/>
          <w:i/>
        </w:rPr>
        <w:t>Powell v. Alabama</w:t>
      </w:r>
      <w:r w:rsidRPr="008906FE">
        <w:rPr>
          <w:bCs/>
        </w:rPr>
        <w:t xml:space="preserve"> (1932) </w:t>
      </w:r>
    </w:p>
    <w:p w14:paraId="7A6A8E30" w14:textId="77777777" w:rsidR="00E12D32" w:rsidRPr="00A06F2D" w:rsidRDefault="00E12D32" w:rsidP="00F52825">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w:t>
      </w:r>
      <w:r w:rsidRPr="001440AD">
        <w:rPr>
          <w:vertAlign w:val="superscript"/>
        </w:rPr>
        <w:t>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14:paraId="64DDCBE9" w14:textId="77777777" w:rsidR="00E12D32" w:rsidRPr="008906FE" w:rsidRDefault="00E12D32" w:rsidP="00F52825">
      <w:pPr>
        <w:pStyle w:val="Bulletsl"/>
        <w:spacing w:before="240" w:line="276" w:lineRule="auto"/>
        <w:rPr>
          <w:bCs/>
        </w:rPr>
      </w:pPr>
      <w:r w:rsidRPr="008906FE">
        <w:rPr>
          <w:bCs/>
          <w:i/>
        </w:rPr>
        <w:t>Johnson v. Zerbst</w:t>
      </w:r>
      <w:r w:rsidRPr="008906FE">
        <w:rPr>
          <w:bCs/>
        </w:rPr>
        <w:t xml:space="preserve"> (1938) </w:t>
      </w:r>
    </w:p>
    <w:p w14:paraId="2BE488E1" w14:textId="77777777" w:rsidR="00E12D32" w:rsidRPr="00A06F2D" w:rsidRDefault="00E12D32" w:rsidP="00F52825">
      <w:pPr>
        <w:pStyle w:val="Basiccopysl"/>
        <w:ind w:left="720"/>
      </w:pPr>
      <w:r w:rsidRPr="00A06F2D">
        <w:t xml:space="preserve">The Supreme Court said that the Sixth Amendment requires that, in federal criminal cases that could be punishable by imprisonment, </w:t>
      </w:r>
      <w:r>
        <w:t>lawyers</w:t>
      </w:r>
      <w:r w:rsidRPr="00A06F2D">
        <w:t xml:space="preserve"> must be </w:t>
      </w:r>
      <w:r>
        <w:t>provided</w:t>
      </w:r>
      <w:r w:rsidRPr="00A06F2D">
        <w:t xml:space="preserve"> for defendants too poor to hire their own lawyer, unless the accused person waives that right.</w:t>
      </w:r>
    </w:p>
    <w:p w14:paraId="7963F467" w14:textId="77777777" w:rsidR="00E12D32" w:rsidRPr="008906FE" w:rsidRDefault="00E12D32" w:rsidP="00F52825">
      <w:pPr>
        <w:pStyle w:val="Bulletsl"/>
        <w:spacing w:before="240" w:line="276" w:lineRule="auto"/>
        <w:rPr>
          <w:bCs/>
        </w:rPr>
      </w:pPr>
      <w:r w:rsidRPr="008906FE">
        <w:rPr>
          <w:bCs/>
          <w:i/>
        </w:rPr>
        <w:t>Betts v. Brady</w:t>
      </w:r>
      <w:r w:rsidRPr="008906FE">
        <w:rPr>
          <w:bCs/>
        </w:rPr>
        <w:t xml:space="preserve"> (1942) </w:t>
      </w:r>
    </w:p>
    <w:p w14:paraId="0AA41D5D" w14:textId="77777777" w:rsidR="00E12D32" w:rsidRPr="00ED3234" w:rsidRDefault="00E12D32" w:rsidP="00F52825">
      <w:pPr>
        <w:pStyle w:val="Basiccopysl"/>
        <w:ind w:left="720"/>
      </w:pPr>
      <w:r w:rsidRPr="003F3D2D">
        <w:t xml:space="preserve">Betts was </w:t>
      </w:r>
      <w:r>
        <w:t>convicted of</w:t>
      </w:r>
      <w:r w:rsidRPr="003F3D2D">
        <w:t xml:space="preserve"> robbery in Maryland</w:t>
      </w:r>
      <w:r>
        <w:t xml:space="preserve"> under circumstances very similar to Gideon’s. Despite Betts’ request that a lawyer </w:t>
      </w:r>
      <w:r w:rsidRPr="003F3D2D">
        <w:t>be appointed for him</w:t>
      </w:r>
      <w:r>
        <w:t>, t</w:t>
      </w:r>
      <w:r w:rsidRPr="003F3D2D">
        <w:t xml:space="preserve">he </w:t>
      </w:r>
      <w:r>
        <w:t xml:space="preserve">Supreme </w:t>
      </w:r>
      <w:r w:rsidRPr="003F3D2D">
        <w:t xml:space="preserve">Court ruled that the </w:t>
      </w:r>
      <w:r>
        <w:t>14</w:t>
      </w:r>
      <w:r w:rsidRPr="001440AD">
        <w:rPr>
          <w:vertAlign w:val="superscript"/>
        </w:rPr>
        <w:t>th</w:t>
      </w:r>
      <w:r w:rsidRPr="003F3D2D">
        <w:t xml:space="preserve"> </w:t>
      </w:r>
      <w:r>
        <w:t>A</w:t>
      </w:r>
      <w:r w:rsidRPr="003F3D2D">
        <w:t>mendment did not require states to provide counsel to the poor in non</w:t>
      </w:r>
      <w:r>
        <w:t>-death-penalty</w:t>
      </w:r>
      <w:r w:rsidRPr="003F3D2D">
        <w:t xml:space="preserve"> cases.</w:t>
      </w:r>
    </w:p>
    <w:p w14:paraId="55073BB2" w14:textId="77777777" w:rsidR="00E12D32" w:rsidRPr="00ED3234" w:rsidRDefault="00E12D32" w:rsidP="00F52825">
      <w:pPr>
        <w:pStyle w:val="Subhead2sl"/>
        <w:spacing w:line="276" w:lineRule="auto"/>
      </w:pPr>
      <w:r w:rsidRPr="00ED3234">
        <w:lastRenderedPageBreak/>
        <w:t>Arguments for Gideon</w:t>
      </w:r>
      <w:r>
        <w:t xml:space="preserve"> (petitioner)</w:t>
      </w:r>
    </w:p>
    <w:p w14:paraId="1189FD60" w14:textId="77777777" w:rsidR="00E12D32" w:rsidRPr="003F3D2D" w:rsidRDefault="00E12D32" w:rsidP="00F52825">
      <w:pPr>
        <w:pStyle w:val="Bulletsl"/>
        <w:spacing w:line="276" w:lineRule="auto"/>
      </w:pPr>
      <w:r>
        <w:t xml:space="preserve">Fair trials cannot be assured unless everyone has the assistance of a lawyer. </w:t>
      </w:r>
      <w:r w:rsidRPr="003F3D2D">
        <w:t xml:space="preserve">The average person does not have the knowledge, resources, and skill required to </w:t>
      </w:r>
      <w:r>
        <w:t>provide an adequate legal defense</w:t>
      </w:r>
      <w:r w:rsidRPr="003F3D2D">
        <w:t xml:space="preserve"> </w:t>
      </w:r>
      <w:r>
        <w:t xml:space="preserve">for </w:t>
      </w:r>
      <w:r w:rsidRPr="003F3D2D">
        <w:t>themsel</w:t>
      </w:r>
      <w:r>
        <w:t>f</w:t>
      </w:r>
      <w:r w:rsidRPr="003F3D2D">
        <w:t>.</w:t>
      </w:r>
    </w:p>
    <w:p w14:paraId="75C9F9F4" w14:textId="77777777" w:rsidR="00E12D32" w:rsidRPr="003F3D2D" w:rsidRDefault="00E12D32" w:rsidP="00F52825">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w:t>
      </w:r>
      <w:r w:rsidRPr="001440AD">
        <w:rPr>
          <w:vertAlign w:val="superscript"/>
        </w:rPr>
        <w:t>th</w:t>
      </w:r>
      <w:r w:rsidRPr="003F3D2D">
        <w:t xml:space="preserve"> </w:t>
      </w:r>
      <w:r>
        <w:t>A</w:t>
      </w:r>
      <w:r w:rsidRPr="003F3D2D">
        <w:t>mendment.</w:t>
      </w:r>
      <w:r>
        <w:t xml:space="preserve"> Even non-capital crimes can result in long prison sentences, which is depriving someone of their liberty. There is no “trivial” criminal case because a person’s liberty is at stake. </w:t>
      </w:r>
    </w:p>
    <w:p w14:paraId="6086FAAD" w14:textId="77777777" w:rsidR="00E12D32" w:rsidRPr="003F3D2D" w:rsidRDefault="00E12D32" w:rsidP="00F52825">
      <w:pPr>
        <w:pStyle w:val="Bulletsl"/>
        <w:spacing w:line="276" w:lineRule="auto"/>
      </w:pPr>
      <w:r>
        <w:t>Society changed its</w:t>
      </w:r>
      <w:r w:rsidRPr="003F3D2D">
        <w:t xml:space="preserve">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came before</w:t>
      </w:r>
      <w:r w:rsidRPr="00BA21B4">
        <w:t xml:space="preserve">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14:paraId="354BB490" w14:textId="77777777" w:rsidR="00E12D32" w:rsidRPr="00E06562" w:rsidRDefault="00E12D32" w:rsidP="00F52825">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two states filed amicus curiae</w:t>
      </w:r>
      <w:r>
        <w:t>, (“friend of the court”)</w:t>
      </w:r>
      <w:r w:rsidRPr="003F3D2D">
        <w:t xml:space="preserve"> briefs to support the application of the Sixth Amendment </w:t>
      </w:r>
      <w:r>
        <w:t xml:space="preserve">right to </w:t>
      </w:r>
      <w:r w:rsidRPr="003F3D2D">
        <w:t xml:space="preserve">counsel to state courts regardless of </w:t>
      </w:r>
      <w:r>
        <w:t xml:space="preserve">the </w:t>
      </w:r>
      <w:r w:rsidRPr="003F3D2D">
        <w:t>type of offense</w:t>
      </w:r>
      <w:r>
        <w:t>.</w:t>
      </w:r>
    </w:p>
    <w:p w14:paraId="345AB980" w14:textId="77777777" w:rsidR="00E12D32" w:rsidRPr="00A06F2D" w:rsidRDefault="00E12D32" w:rsidP="00F52825">
      <w:pPr>
        <w:pStyle w:val="Subhead2sl"/>
        <w:spacing w:line="276" w:lineRule="auto"/>
      </w:pPr>
      <w:r w:rsidRPr="00A06F2D">
        <w:t>Arguments for Wainwright (respondent)</w:t>
      </w:r>
    </w:p>
    <w:p w14:paraId="178B3E64" w14:textId="77777777" w:rsidR="00E12D32" w:rsidRPr="003F3D2D" w:rsidRDefault="00E12D32" w:rsidP="00F52825">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w:t>
      </w:r>
      <w:r>
        <w:t xml:space="preserve">they </w:t>
      </w:r>
      <w:r w:rsidRPr="003F3D2D">
        <w:t xml:space="preserve">can claim special circumstances </w:t>
      </w:r>
      <w:r>
        <w:t>that</w:t>
      </w:r>
      <w:r w:rsidRPr="003F3D2D">
        <w:t xml:space="preserve"> show </w:t>
      </w:r>
      <w:r>
        <w:t xml:space="preserve">they </w:t>
      </w:r>
      <w:r w:rsidRPr="003F3D2D">
        <w:t>would be denied a fair trial without counsel. Gideon did not claim such circumstances.</w:t>
      </w:r>
    </w:p>
    <w:p w14:paraId="53E54277" w14:textId="77777777" w:rsidR="00E12D32" w:rsidRPr="003F3D2D" w:rsidRDefault="00E12D32" w:rsidP="00F52825">
      <w:pPr>
        <w:pStyle w:val="Bulletsl"/>
        <w:spacing w:line="276" w:lineRule="auto"/>
      </w:pPr>
      <w:r w:rsidRPr="003F3D2D">
        <w:t>The U</w:t>
      </w:r>
      <w:r>
        <w:t xml:space="preserve">nited </w:t>
      </w:r>
      <w:r w:rsidRPr="003F3D2D">
        <w:t>S</w:t>
      </w:r>
      <w:r>
        <w:t>tates</w:t>
      </w:r>
      <w:r w:rsidRPr="003F3D2D">
        <w:t xml:space="preserve">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14:paraId="1D33BBA7" w14:textId="77777777" w:rsidR="00E12D32" w:rsidRPr="003F3D2D" w:rsidRDefault="00E12D32" w:rsidP="00F52825">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14:paraId="64B2C923" w14:textId="77777777" w:rsidR="00E12D32" w:rsidRPr="003F3D2D" w:rsidRDefault="00E12D32" w:rsidP="00F52825">
      <w:pPr>
        <w:pStyle w:val="Bulletsl"/>
        <w:spacing w:line="276" w:lineRule="auto"/>
      </w:pPr>
      <w:r>
        <w:t xml:space="preserve">The Supreme Court should uphold </w:t>
      </w:r>
      <w:r>
        <w:rPr>
          <w:i/>
        </w:rPr>
        <w:t xml:space="preserve">Betts v. Brady, </w:t>
      </w:r>
      <w:r>
        <w:t xml:space="preserve">which was decided only 21 years before </w:t>
      </w:r>
      <w:r>
        <w:rPr>
          <w:i/>
        </w:rPr>
        <w:t xml:space="preserve">Gideon. </w:t>
      </w:r>
      <w:r>
        <w:t>The Court considered this issue then and issued a ruling that should remain in force</w:t>
      </w:r>
      <w:r w:rsidRPr="003F3D2D">
        <w:t xml:space="preserve">. </w:t>
      </w:r>
    </w:p>
    <w:p w14:paraId="39DB2AE4" w14:textId="77777777" w:rsidR="00E12D32" w:rsidRPr="003F3D2D" w:rsidRDefault="00E12D32" w:rsidP="00F52825">
      <w:pPr>
        <w:pStyle w:val="Bulletsl"/>
        <w:spacing w:line="276" w:lineRule="auto"/>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14:paraId="28094B3D" w14:textId="77777777" w:rsidR="00E12D32" w:rsidRPr="00ED3234" w:rsidRDefault="00E12D32" w:rsidP="00F52825">
      <w:pPr>
        <w:pStyle w:val="Subhead2sl"/>
        <w:spacing w:line="276" w:lineRule="auto"/>
      </w:pPr>
      <w:r w:rsidRPr="00ED3234">
        <w:t>Decision</w:t>
      </w:r>
    </w:p>
    <w:p w14:paraId="079837E8" w14:textId="77777777" w:rsidR="00E12D32" w:rsidRDefault="00E12D32" w:rsidP="00F52825">
      <w:pPr>
        <w:pStyle w:val="Basiccopysl"/>
        <w:rPr>
          <w:shd w:val="clear" w:color="auto" w:fill="FFFFFF"/>
        </w:rPr>
      </w:pPr>
      <w:r w:rsidRPr="00792284">
        <w:rPr>
          <w:bCs/>
        </w:rPr>
        <w:t>The Supre</w:t>
      </w:r>
      <w:r w:rsidRPr="00BA21B4">
        <w:rPr>
          <w:bCs/>
        </w:rPr>
        <w:t>m</w:t>
      </w:r>
      <w:r>
        <w:rPr>
          <w:bCs/>
        </w:rPr>
        <w:t xml:space="preserve">e Court ruled unanimously for Gideon. </w:t>
      </w:r>
      <w:r w:rsidRPr="003F3D2D">
        <w:t>Justice Black delivered the opinion</w:t>
      </w:r>
      <w:r>
        <w:t xml:space="preserve"> for the Court. </w:t>
      </w:r>
      <w:r w:rsidRPr="00792284">
        <w:t xml:space="preserve">Justices </w:t>
      </w:r>
      <w:r>
        <w:t xml:space="preserve">Douglas, </w:t>
      </w:r>
      <w:r w:rsidRPr="00792284">
        <w:t>Harlan</w:t>
      </w:r>
      <w:r>
        <w:t>,</w:t>
      </w:r>
      <w:r w:rsidRPr="00792284">
        <w:t xml:space="preserve"> and Clark wrote concurring opinions</w:t>
      </w:r>
      <w:r>
        <w:t>, mostly concerned about why the Court was overturning a precedent that was only 21 years old or whether the 14</w:t>
      </w:r>
      <w:r w:rsidRPr="00034367">
        <w:rPr>
          <w:vertAlign w:val="superscript"/>
        </w:rPr>
        <w:t>th</w:t>
      </w:r>
      <w:r>
        <w:t xml:space="preserve"> Amendment applied all of the Bill of Rights to the states. T</w:t>
      </w:r>
      <w:r w:rsidRPr="003F3D2D">
        <w:t xml:space="preserve">he Supreme Court </w:t>
      </w:r>
      <w:r>
        <w:rPr>
          <w:shd w:val="clear" w:color="auto" w:fill="FFFFFF"/>
        </w:rPr>
        <w:t xml:space="preserve">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14:paraId="75A58377" w14:textId="77777777" w:rsidR="00E12D32" w:rsidRPr="000F5495" w:rsidRDefault="00E12D32" w:rsidP="00F52825">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establish systems of justice and hire lawyers to prosecute crimes.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14:paraId="69B1514E" w14:textId="77777777" w:rsidR="00E12D32" w:rsidRPr="00ED3234" w:rsidRDefault="00E12D32" w:rsidP="00F52825">
      <w:pPr>
        <w:pStyle w:val="Subhead2sl"/>
        <w:spacing w:line="276" w:lineRule="auto"/>
      </w:pPr>
      <w:r>
        <w:t>Impact</w:t>
      </w:r>
    </w:p>
    <w:p w14:paraId="52891EE3" w14:textId="77777777" w:rsidR="00E12D32" w:rsidRDefault="00E12D32" w:rsidP="00F52825">
      <w:pPr>
        <w:spacing w:after="120" w:line="276" w:lineRule="auto"/>
        <w:rPr>
          <w:szCs w:val="24"/>
        </w:rPr>
      </w:pPr>
      <w:r>
        <w:rPr>
          <w:szCs w:val="24"/>
        </w:rPr>
        <w:t xml:space="preserve">The Court’s </w:t>
      </w:r>
      <w:r w:rsidRPr="008736FE">
        <w:rPr>
          <w:i/>
          <w:iCs/>
          <w:szCs w:val="24"/>
        </w:rPr>
        <w:t>Gideon</w:t>
      </w:r>
      <w:r>
        <w:rPr>
          <w:szCs w:val="24"/>
        </w:rPr>
        <w:t xml:space="preserve"> decision is rightfully regarded as one of the most significant of the cases decided by the Warren Court in what has been called a due process revolution. The right to have a free lawyer provided by the government has even become part of the </w:t>
      </w:r>
      <w:r w:rsidRPr="0083167E">
        <w:rPr>
          <w:szCs w:val="24"/>
        </w:rPr>
        <w:t xml:space="preserve">Miranda </w:t>
      </w:r>
      <w:r>
        <w:rPr>
          <w:szCs w:val="24"/>
        </w:rPr>
        <w:t xml:space="preserve">warnings given to those arrested by the police. At the time, the Gideon decision only </w:t>
      </w:r>
      <w:r w:rsidRPr="000F5495">
        <w:rPr>
          <w:szCs w:val="24"/>
        </w:rPr>
        <w:t xml:space="preserve">applied to criminal defendants charged with felonies. In 1972, the Court decided the case of </w:t>
      </w:r>
      <w:r w:rsidRPr="000F5495">
        <w:rPr>
          <w:i/>
          <w:szCs w:val="24"/>
        </w:rPr>
        <w:t>Argersinger v. Hamlin,</w:t>
      </w:r>
      <w:r w:rsidRPr="000F5495">
        <w:rPr>
          <w:szCs w:val="24"/>
        </w:rPr>
        <w:t xml:space="preserve"> which extended the </w:t>
      </w:r>
      <w:r w:rsidRPr="000F5495">
        <w:rPr>
          <w:i/>
          <w:szCs w:val="24"/>
        </w:rPr>
        <w:t>Gideon</w:t>
      </w:r>
      <w:r w:rsidRPr="000F5495">
        <w:rPr>
          <w:szCs w:val="24"/>
        </w:rPr>
        <w:t xml:space="preserve"> rule so that </w:t>
      </w:r>
      <w:r>
        <w:rPr>
          <w:szCs w:val="24"/>
        </w:rPr>
        <w:t xml:space="preserve">poor defendants charged with misdemeanors </w:t>
      </w:r>
      <w:r w:rsidRPr="000F5495">
        <w:rPr>
          <w:szCs w:val="24"/>
        </w:rPr>
        <w:t>could not be imprisoned unless they had received free legal counsel.</w:t>
      </w:r>
      <w:r>
        <w:rPr>
          <w:szCs w:val="24"/>
        </w:rPr>
        <w:t xml:space="preserve"> </w:t>
      </w:r>
      <w:r w:rsidRPr="008736FE">
        <w:rPr>
          <w:i/>
          <w:iCs/>
          <w:szCs w:val="24"/>
        </w:rPr>
        <w:t>Gideon</w:t>
      </w:r>
      <w:r>
        <w:rPr>
          <w:szCs w:val="24"/>
        </w:rPr>
        <w:t xml:space="preserve"> and subsequent cases did not have any constitutional impact in terms of creating a constitutional right for legal aid in civil (non-criminal) cases.  </w:t>
      </w:r>
    </w:p>
    <w:p w14:paraId="7172C679" w14:textId="77777777" w:rsidR="00E12D32" w:rsidRDefault="00E12D32" w:rsidP="00144A75">
      <w:pPr>
        <w:spacing w:after="240" w:line="276" w:lineRule="auto"/>
        <w:rPr>
          <w:szCs w:val="24"/>
        </w:rPr>
      </w:pPr>
      <w:r>
        <w:rPr>
          <w:szCs w:val="24"/>
        </w:rPr>
        <w:t xml:space="preserve">Even though </w:t>
      </w:r>
      <w:r w:rsidRPr="008736FE">
        <w:rPr>
          <w:i/>
          <w:iCs/>
          <w:szCs w:val="24"/>
        </w:rPr>
        <w:t>Gideon</w:t>
      </w:r>
      <w:r>
        <w:rPr>
          <w:szCs w:val="24"/>
        </w:rPr>
        <w:t xml:space="preserve"> led to the creation of public defender offices and government-provided lawyers nationwide, it has had practical limitations. Adequate resources are always a problem, and courts and policymakers have struggled with how effective or experienced the free counsel needs to be. Today, more than 50 years later, it is fair to say </w:t>
      </w:r>
      <w:r w:rsidRPr="007E0AA7">
        <w:rPr>
          <w:i/>
          <w:iCs/>
          <w:szCs w:val="24"/>
        </w:rPr>
        <w:t>Gideon</w:t>
      </w:r>
      <w:r>
        <w:rPr>
          <w:szCs w:val="24"/>
        </w:rPr>
        <w:t xml:space="preserve"> stands as a significant landmark in securing the ideal of fair justice for all, even though its promise is still somewhat unfulfilled. </w:t>
      </w:r>
      <w:bookmarkStart w:id="5" w:name="_Hlk45887922"/>
    </w:p>
    <w:tbl>
      <w:tblPr>
        <w:tblStyle w:val="TableGrid"/>
        <w:tblW w:w="0" w:type="auto"/>
        <w:shd w:val="clear" w:color="auto" w:fill="F2F2F2" w:themeFill="background1" w:themeFillShade="F2"/>
        <w:tblLook w:val="04A0" w:firstRow="1" w:lastRow="0" w:firstColumn="1" w:lastColumn="0" w:noHBand="0" w:noVBand="1"/>
      </w:tblPr>
      <w:tblGrid>
        <w:gridCol w:w="9350"/>
      </w:tblGrid>
      <w:tr w:rsidR="00E12D32" w14:paraId="1E0A4306" w14:textId="77777777" w:rsidTr="00E12D32">
        <w:tc>
          <w:tcPr>
            <w:tcW w:w="9350" w:type="dxa"/>
            <w:shd w:val="clear" w:color="auto" w:fill="F2F2F2" w:themeFill="background1" w:themeFillShade="F2"/>
          </w:tcPr>
          <w:p w14:paraId="5B351242" w14:textId="77777777" w:rsidR="00E12D32" w:rsidRDefault="00E12D32" w:rsidP="00F52825">
            <w:pPr>
              <w:pStyle w:val="Basiccopysl"/>
              <w:spacing w:before="120"/>
            </w:pPr>
            <w:r>
              <w:t xml:space="preserve">Additional information about </w:t>
            </w:r>
            <w:r w:rsidRPr="008906FE">
              <w:rPr>
                <w:i/>
                <w:iCs/>
              </w:rPr>
              <w:t>Gideon v. Wainwright,</w:t>
            </w:r>
            <w:r>
              <w:t xml:space="preserve"> including background at three reading levels, opinion quotes and summaries, teaching activities, and additional resources, can be found at </w:t>
            </w:r>
            <w:hyperlink r:id="rId29" w:history="1">
              <w:r w:rsidRPr="00E73DD3">
                <w:rPr>
                  <w:rStyle w:val="Hyperlink"/>
                  <w:color w:val="auto"/>
                </w:rPr>
                <w:t>https://www.landmarkcases.org/</w:t>
              </w:r>
            </w:hyperlink>
            <w:r w:rsidRPr="00E73DD3">
              <w:t>.</w:t>
            </w:r>
          </w:p>
        </w:tc>
      </w:tr>
    </w:tbl>
    <w:p w14:paraId="020ABA33" w14:textId="77777777" w:rsidR="00E12D32" w:rsidRDefault="00E12D32" w:rsidP="00F52825">
      <w:pPr>
        <w:spacing w:after="0" w:line="276" w:lineRule="auto"/>
        <w:rPr>
          <w:szCs w:val="24"/>
        </w:rPr>
        <w:sectPr w:rsidR="00E12D32" w:rsidSect="00F42CDF">
          <w:headerReference w:type="default" r:id="rId30"/>
          <w:footerReference w:type="default" r:id="rId31"/>
          <w:headerReference w:type="first" r:id="rId32"/>
          <w:footerReference w:type="first" r:id="rId33"/>
          <w:footnotePr>
            <w:numFmt w:val="chicago"/>
          </w:footnotePr>
          <w:pgSz w:w="12240" w:h="15840"/>
          <w:pgMar w:top="1440" w:right="1440" w:bottom="1440" w:left="1440" w:header="720" w:footer="720" w:gutter="0"/>
          <w:cols w:space="720"/>
          <w:titlePg/>
          <w:docGrid w:linePitch="360"/>
        </w:sectPr>
      </w:pPr>
      <w:r>
        <w:rPr>
          <w:szCs w:val="24"/>
        </w:rPr>
        <w:t xml:space="preserve"> </w:t>
      </w:r>
      <w:bookmarkEnd w:id="5"/>
    </w:p>
    <w:p w14:paraId="12D825D5" w14:textId="77777777" w:rsidR="00810E29" w:rsidRPr="00810E29" w:rsidRDefault="00810E29" w:rsidP="00F52825">
      <w:pPr>
        <w:spacing w:after="0" w:line="276" w:lineRule="auto"/>
        <w:rPr>
          <w:sz w:val="12"/>
          <w:szCs w:val="10"/>
        </w:rPr>
      </w:pPr>
    </w:p>
    <w:p w14:paraId="5C46DE79" w14:textId="77777777" w:rsidR="00E12D32" w:rsidRDefault="00E12D32" w:rsidP="00CC30C5">
      <w:pPr>
        <w:pStyle w:val="Heading1"/>
        <w:rPr>
          <w:color w:val="000000"/>
        </w:rPr>
      </w:pPr>
      <w:bookmarkStart w:id="6" w:name="_Toc80619875"/>
      <w:bookmarkStart w:id="7" w:name="_Hlk46830792"/>
      <w:r w:rsidRPr="00810E29">
        <w:t>Marbury</w:t>
      </w:r>
      <w:r w:rsidRPr="00810E29">
        <w:rPr>
          <w:color w:val="000000"/>
        </w:rPr>
        <w:t xml:space="preserve"> v. </w:t>
      </w:r>
      <w:r w:rsidRPr="00810E29">
        <w:t>Madison</w:t>
      </w:r>
      <w:r>
        <w:t xml:space="preserve"> </w:t>
      </w:r>
      <w:r w:rsidRPr="00CC30C5">
        <w:rPr>
          <w:i w:val="0"/>
          <w:iCs w:val="0"/>
        </w:rPr>
        <w:t>(1803)</w:t>
      </w:r>
      <w:bookmarkEnd w:id="6"/>
    </w:p>
    <w:p w14:paraId="25D1AC96" w14:textId="77777777" w:rsidR="00E12D32" w:rsidRDefault="00E12D32" w:rsidP="00F52825">
      <w:pPr>
        <w:pStyle w:val="Basiccopysl"/>
        <w:jc w:val="center"/>
      </w:pPr>
      <w:r w:rsidRPr="00CF236A">
        <w:rPr>
          <w:b/>
        </w:rPr>
        <w:t>Argued:</w:t>
      </w:r>
      <w:r>
        <w:t xml:space="preserve"> February 11, 1803</w:t>
      </w:r>
    </w:p>
    <w:p w14:paraId="77D6CE28" w14:textId="77777777" w:rsidR="00E12D32" w:rsidRDefault="00E12D32" w:rsidP="00F52825">
      <w:pPr>
        <w:pStyle w:val="Basiccopysl"/>
        <w:jc w:val="center"/>
        <w:rPr>
          <w:b/>
        </w:rPr>
      </w:pPr>
      <w:r>
        <w:rPr>
          <w:b/>
        </w:rPr>
        <w:t>Decided</w:t>
      </w:r>
      <w:r>
        <w:t>: February 24, 1803</w:t>
      </w:r>
    </w:p>
    <w:p w14:paraId="06AFC24E" w14:textId="77777777" w:rsidR="00E12D32" w:rsidRDefault="00E12D32" w:rsidP="00F52825">
      <w:pPr>
        <w:pStyle w:val="Subhead2sl"/>
        <w:spacing w:line="276" w:lineRule="auto"/>
      </w:pPr>
      <w:r>
        <w:t>Background</w:t>
      </w:r>
    </w:p>
    <w:p w14:paraId="1FBDE1DC" w14:textId="77777777" w:rsidR="00E12D32" w:rsidRDefault="00E12D32" w:rsidP="00F52825">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14:paraId="528E7F40" w14:textId="77777777" w:rsidR="00E12D32" w:rsidRDefault="00E12D32" w:rsidP="00F52825">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14:paraId="3FB49B48" w14:textId="77777777" w:rsidR="00E12D32" w:rsidRPr="003A7263" w:rsidRDefault="00E12D32" w:rsidP="00F52825">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w:t>
      </w:r>
      <w:r>
        <w:rPr>
          <w:color w:val="222222"/>
        </w:rPr>
        <w:t xml:space="preserve"> </w:t>
      </w:r>
      <w:r w:rsidRPr="003A7263">
        <w:rPr>
          <w:color w:val="222222"/>
        </w:rPr>
        <w:t>n</w:t>
      </w:r>
      <w:r>
        <w:rPr>
          <w:color w:val="222222"/>
        </w:rPr>
        <w:t>o</w:t>
      </w:r>
      <w:r w:rsidRPr="003A7263">
        <w:rPr>
          <w:color w:val="222222"/>
        </w:rPr>
        <w:t>t take office until they actually had their commissions in hand.</w:t>
      </w:r>
    </w:p>
    <w:p w14:paraId="0EB5FB9E" w14:textId="77777777" w:rsidR="00E12D32" w:rsidRDefault="00E12D32" w:rsidP="00F52825">
      <w:pPr>
        <w:pStyle w:val="Subhead2sl"/>
        <w:spacing w:line="276" w:lineRule="auto"/>
      </w:pPr>
      <w:r>
        <w:t>Facts</w:t>
      </w:r>
    </w:p>
    <w:p w14:paraId="7682836F" w14:textId="77777777" w:rsidR="00E12D32" w:rsidRDefault="00E12D32" w:rsidP="00F52825">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14:paraId="07F92B85" w14:textId="77777777" w:rsidR="00E12D32" w:rsidRDefault="00E12D32" w:rsidP="00F52825">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weak. </w:t>
      </w:r>
      <w:r>
        <w:lastRenderedPageBreak/>
        <w:t xml:space="preserve">However, if they did not require the commission delivered, it could look like they were backing down out of fear. Chief Justice Marshall instead framed the case as a question about whether the Supreme Court even had the power to order the </w:t>
      </w:r>
      <w:r w:rsidRPr="0054240F">
        <w:t>writ of</w:t>
      </w:r>
      <w:r>
        <w:rPr>
          <w:i/>
        </w:rPr>
        <w:t xml:space="preserve"> mandamus.</w:t>
      </w:r>
    </w:p>
    <w:p w14:paraId="7D0739E5" w14:textId="77777777" w:rsidR="00E12D32" w:rsidRDefault="00E12D32" w:rsidP="00F52825">
      <w:pPr>
        <w:pStyle w:val="Subhead2sl"/>
        <w:spacing w:line="276" w:lineRule="auto"/>
      </w:pPr>
      <w:r>
        <w:t>Issues</w:t>
      </w:r>
    </w:p>
    <w:p w14:paraId="19450952" w14:textId="77777777" w:rsidR="00E12D32" w:rsidRDefault="00E12D32" w:rsidP="00F52825">
      <w:pPr>
        <w:pStyle w:val="Basiccopysl"/>
      </w:pPr>
      <w:r>
        <w:t>Does Marbury have a right to his commission, and can he sue the federal government for it? Does the Supreme Court have the authority to order the delivery of the commission?</w:t>
      </w:r>
    </w:p>
    <w:p w14:paraId="08833D79" w14:textId="77777777" w:rsidR="00E12D32" w:rsidRDefault="00E12D32" w:rsidP="00F52825">
      <w:pPr>
        <w:pStyle w:val="Subhead2sl"/>
        <w:spacing w:line="276" w:lineRule="auto"/>
      </w:pPr>
      <w:r>
        <w:t>Constitutional Provisions and Federal Law</w:t>
      </w:r>
    </w:p>
    <w:p w14:paraId="2DDA04A7" w14:textId="77777777" w:rsidR="00E12D32" w:rsidRPr="00CF236A" w:rsidRDefault="00E12D32" w:rsidP="00F52825">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14:paraId="1FF14F44" w14:textId="77777777" w:rsidR="00E12D32" w:rsidRDefault="00E12D32" w:rsidP="00F52825">
      <w:pPr>
        <w:pStyle w:val="Bulletsl"/>
        <w:numPr>
          <w:ilvl w:val="0"/>
          <w:numId w:val="0"/>
        </w:numPr>
        <w:spacing w:line="276" w:lineRule="auto"/>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14:paraId="077A99F4" w14:textId="77777777" w:rsidR="00E12D32" w:rsidRPr="00CF236A" w:rsidRDefault="00E12D32" w:rsidP="00F52825">
      <w:pPr>
        <w:pStyle w:val="Bulletsl"/>
        <w:spacing w:before="240" w:line="276" w:lineRule="auto"/>
        <w:rPr>
          <w:b/>
        </w:rPr>
      </w:pPr>
      <w:r w:rsidRPr="00CF236A">
        <w:rPr>
          <w:b/>
        </w:rPr>
        <w:t>The Judiciary Act of 1789</w:t>
      </w:r>
    </w:p>
    <w:p w14:paraId="0570EC9A" w14:textId="77777777" w:rsidR="00E12D32" w:rsidRDefault="00E12D32" w:rsidP="00F52825">
      <w:pPr>
        <w:pStyle w:val="Bulletsl"/>
        <w:numPr>
          <w:ilvl w:val="0"/>
          <w:numId w:val="0"/>
        </w:numPr>
        <w:spacing w:line="276" w:lineRule="auto"/>
        <w:ind w:left="720"/>
      </w:pPr>
      <w:r>
        <w:t xml:space="preserve">This Act authorized the Supreme Court to “issue writs of </w:t>
      </w:r>
      <w:r w:rsidRPr="0054240F">
        <w:rPr>
          <w:i/>
        </w:rPr>
        <w:t>mandamus</w:t>
      </w:r>
      <w:r>
        <w:t xml:space="preserve"> … to persons holding office under the authority of the United States.” </w:t>
      </w:r>
    </w:p>
    <w:bookmarkEnd w:id="7"/>
    <w:p w14:paraId="583183F2" w14:textId="77777777" w:rsidR="00E12D32" w:rsidRDefault="00E12D32" w:rsidP="00F52825">
      <w:pPr>
        <w:pStyle w:val="Subhead2sl"/>
        <w:spacing w:line="276" w:lineRule="auto"/>
      </w:pPr>
      <w:r>
        <w:t>Arguments</w:t>
      </w:r>
    </w:p>
    <w:p w14:paraId="7E9FB6FF" w14:textId="77777777" w:rsidR="00E12D32" w:rsidRDefault="00E12D32" w:rsidP="00F52825">
      <w:pPr>
        <w:pStyle w:val="Normal1"/>
        <w:shd w:val="clear" w:color="auto" w:fill="FFFFFF"/>
        <w:spacing w:after="0" w:line="276"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14:paraId="503C5DE8" w14:textId="77777777" w:rsidR="00E12D32" w:rsidRDefault="00E12D32" w:rsidP="00F52825">
      <w:pPr>
        <w:pStyle w:val="Subhead3sl"/>
      </w:pPr>
      <w:r>
        <w:t xml:space="preserve">Arguments for Marbury (petitioner) </w:t>
      </w:r>
    </w:p>
    <w:p w14:paraId="36EB5E21" w14:textId="77777777" w:rsidR="00E12D32" w:rsidRDefault="00E12D32" w:rsidP="00F52825">
      <w:pPr>
        <w:pStyle w:val="Bulletsl"/>
        <w:spacing w:line="276" w:lineRule="auto"/>
      </w:pPr>
      <w:r>
        <w:t>Marbury’s commission was valid, whether it was physically delivered or not before the end of President Adams’ term, because the president had ordered it.</w:t>
      </w:r>
    </w:p>
    <w:p w14:paraId="7E86F173" w14:textId="77777777" w:rsidR="00E12D32" w:rsidRDefault="00E12D32" w:rsidP="00F52825">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14:paraId="19E9C456" w14:textId="77777777" w:rsidR="00E12D32" w:rsidRDefault="00E12D32" w:rsidP="00F52825">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14:paraId="381DDEF3" w14:textId="77777777" w:rsidR="00E12D32" w:rsidRDefault="00E12D32" w:rsidP="00F52825">
      <w:pPr>
        <w:pStyle w:val="Bulletsl"/>
        <w:spacing w:line="276" w:lineRule="auto"/>
      </w:pPr>
      <w:r>
        <w:t>Article III states that Congress can make exceptions to which cases have original jurisdiction in the Courts. The case falls under original jurisdiction of the Supreme Court.</w:t>
      </w:r>
    </w:p>
    <w:p w14:paraId="6CFEE398" w14:textId="77777777" w:rsidR="00E12D32" w:rsidRDefault="00E12D32" w:rsidP="00144A75">
      <w:pPr>
        <w:pStyle w:val="Subhead3sl"/>
        <w:keepNext/>
      </w:pPr>
      <w:r>
        <w:lastRenderedPageBreak/>
        <w:t>Arguments for Madison (respondent)</w:t>
      </w:r>
    </w:p>
    <w:p w14:paraId="096E3DD3" w14:textId="77777777" w:rsidR="00E12D32" w:rsidRPr="00CF236A" w:rsidRDefault="00E12D32" w:rsidP="00F52825">
      <w:pPr>
        <w:pStyle w:val="Bulletsl"/>
        <w:spacing w:line="276" w:lineRule="auto"/>
      </w:pPr>
      <w:r w:rsidRPr="00CF236A">
        <w:t>The appointment of Marbury to his position was invalid because his commission was not delivered before the expiration of Adams’ term as president.</w:t>
      </w:r>
    </w:p>
    <w:p w14:paraId="65468804" w14:textId="77777777" w:rsidR="00E12D32" w:rsidRPr="00CF236A" w:rsidRDefault="00E12D32" w:rsidP="00F52825">
      <w:pPr>
        <w:pStyle w:val="Bulletsl"/>
        <w:spacing w:line="276" w:lineRule="auto"/>
      </w:pPr>
      <w:r w:rsidRPr="00CF236A">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14:paraId="5DDCDC6A" w14:textId="77777777" w:rsidR="00E12D32" w:rsidRPr="00CF236A" w:rsidRDefault="00E12D32" w:rsidP="00F52825">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14:paraId="7D00BBFA" w14:textId="77777777" w:rsidR="00E12D32" w:rsidRDefault="00E12D32" w:rsidP="00F52825">
      <w:pPr>
        <w:pStyle w:val="Subhead2sl"/>
        <w:spacing w:line="276" w:lineRule="auto"/>
      </w:pPr>
      <w:r>
        <w:t>Decision</w:t>
      </w:r>
    </w:p>
    <w:p w14:paraId="20384E1F" w14:textId="77777777" w:rsidR="00E12D32" w:rsidRDefault="00E12D32" w:rsidP="00F52825">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14:paraId="2B19CF1C" w14:textId="01F6F639" w:rsidR="00E12D32" w:rsidRDefault="00E12D32" w:rsidP="00F52825">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007B7E1E" w:rsidRPr="00DD4A70">
        <w:t>Thus,</w:t>
      </w:r>
      <w:r w:rsidRPr="00DD4A70">
        <w:t xml:space="preserve"> the </w:t>
      </w:r>
      <w:r w:rsidRPr="0054240F">
        <w:t>Judiciary Act of 1789</w:t>
      </w:r>
      <w:r w:rsidRPr="00DD4A70">
        <w:t xml:space="preserve"> and the Constitution were in conflict with each other.</w:t>
      </w:r>
    </w:p>
    <w:p w14:paraId="182B2277" w14:textId="77777777" w:rsidR="00E12D32" w:rsidRDefault="00E12D32" w:rsidP="00F52825">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their executive branch officials and departments. This is the principle of </w:t>
      </w:r>
      <w:r w:rsidRPr="008906FE">
        <w:t>judicial review</w:t>
      </w:r>
      <w:r>
        <w:t xml:space="preserve">. The opinion said that it is “emphatically the province and duty of the judicial department to say what the law is.” </w:t>
      </w:r>
    </w:p>
    <w:p w14:paraId="49D5F909" w14:textId="77777777" w:rsidR="00E12D32" w:rsidRDefault="00E12D32" w:rsidP="00F52825">
      <w:pPr>
        <w:pStyle w:val="Subhead2sl"/>
        <w:spacing w:line="276" w:lineRule="auto"/>
      </w:pPr>
      <w:r>
        <w:t>Impact</w:t>
      </w:r>
    </w:p>
    <w:p w14:paraId="30BFA4E3" w14:textId="7A50A6E5" w:rsidR="00E12D32" w:rsidRPr="00116631" w:rsidRDefault="00E12D32" w:rsidP="00F52825">
      <w:pPr>
        <w:spacing w:after="480" w:line="276" w:lineRule="auto"/>
        <w:rPr>
          <w:sz w:val="25"/>
          <w:szCs w:val="25"/>
        </w:rPr>
      </w:pPr>
      <w:r w:rsidRPr="0097606E">
        <w:rPr>
          <w:i/>
          <w:iCs/>
          <w:sz w:val="25"/>
          <w:szCs w:val="25"/>
        </w:rPr>
        <w:t>Marbury v. Madison</w:t>
      </w:r>
      <w:r w:rsidRPr="0097606E">
        <w:rPr>
          <w:sz w:val="25"/>
          <w:szCs w:val="25"/>
        </w:rPr>
        <w:t xml:space="preserve"> is considered a landmark case because it</w:t>
      </w:r>
      <w:r>
        <w:rPr>
          <w:sz w:val="25"/>
          <w:szCs w:val="25"/>
        </w:rPr>
        <w:t xml:space="preserve"> helped to </w:t>
      </w:r>
      <w:r w:rsidRPr="0097606E">
        <w:rPr>
          <w:sz w:val="25"/>
          <w:szCs w:val="25"/>
        </w:rPr>
        <w:t xml:space="preserve">establish </w:t>
      </w:r>
      <w:r w:rsidRPr="00814056">
        <w:rPr>
          <w:sz w:val="25"/>
          <w:szCs w:val="25"/>
        </w:rPr>
        <w:t>judicial review</w:t>
      </w:r>
      <w:r>
        <w:rPr>
          <w:sz w:val="25"/>
          <w:szCs w:val="25"/>
        </w:rPr>
        <w:t>.</w:t>
      </w:r>
      <w:r w:rsidRPr="0097606E">
        <w:rPr>
          <w:sz w:val="25"/>
          <w:szCs w:val="25"/>
        </w:rPr>
        <w:t xml:space="preserve"> The ruling said that the Constitution is the supreme law of the land and established the Supreme </w:t>
      </w:r>
      <w:r w:rsidRPr="0097606E">
        <w:rPr>
          <w:sz w:val="25"/>
          <w:szCs w:val="25"/>
        </w:rPr>
        <w:lastRenderedPageBreak/>
        <w:t xml:space="preserve">Court as the final authority for interpreting it. </w:t>
      </w:r>
      <w:r>
        <w:rPr>
          <w:sz w:val="25"/>
          <w:szCs w:val="25"/>
        </w:rPr>
        <w:t xml:space="preserve">Therefore, when </w:t>
      </w:r>
      <w:r w:rsidRPr="003F600E">
        <w:rPr>
          <w:sz w:val="25"/>
          <w:szCs w:val="25"/>
        </w:rPr>
        <w:t>court</w:t>
      </w:r>
      <w:r>
        <w:rPr>
          <w:sz w:val="25"/>
          <w:szCs w:val="25"/>
        </w:rPr>
        <w:t>s</w:t>
      </w:r>
      <w:r w:rsidRPr="003F600E">
        <w:rPr>
          <w:sz w:val="25"/>
          <w:szCs w:val="25"/>
        </w:rPr>
        <w:t xml:space="preserve"> rule that </w:t>
      </w:r>
      <w:r>
        <w:rPr>
          <w:sz w:val="25"/>
          <w:szCs w:val="25"/>
        </w:rPr>
        <w:t>a</w:t>
      </w:r>
      <w:r w:rsidRPr="003F600E">
        <w:rPr>
          <w:sz w:val="25"/>
          <w:szCs w:val="25"/>
        </w:rPr>
        <w:t xml:space="preserve"> law </w:t>
      </w:r>
      <w:r>
        <w:rPr>
          <w:sz w:val="25"/>
          <w:szCs w:val="25"/>
        </w:rPr>
        <w:t xml:space="preserve">or action </w:t>
      </w:r>
      <w:r w:rsidRPr="003F600E">
        <w:rPr>
          <w:sz w:val="25"/>
          <w:szCs w:val="25"/>
        </w:rPr>
        <w:t>and the Constitution are in conflict, the law</w:t>
      </w:r>
      <w:r>
        <w:rPr>
          <w:sz w:val="25"/>
          <w:szCs w:val="25"/>
        </w:rPr>
        <w:t xml:space="preserve"> or action</w:t>
      </w:r>
      <w:r w:rsidRPr="003F600E">
        <w:rPr>
          <w:sz w:val="25"/>
          <w:szCs w:val="25"/>
        </w:rPr>
        <w:t xml:space="preserve"> </w:t>
      </w:r>
      <w:r>
        <w:rPr>
          <w:sz w:val="25"/>
          <w:szCs w:val="25"/>
        </w:rPr>
        <w:t xml:space="preserve">can be declared </w:t>
      </w:r>
      <w:r w:rsidRPr="003F600E">
        <w:rPr>
          <w:sz w:val="25"/>
          <w:szCs w:val="25"/>
        </w:rPr>
        <w:t>unconstitutional and struck down.</w:t>
      </w:r>
      <w:r>
        <w:t xml:space="preserve"> </w:t>
      </w:r>
      <w:r w:rsidRPr="0097606E">
        <w:rPr>
          <w:sz w:val="25"/>
          <w:szCs w:val="25"/>
        </w:rPr>
        <w:t xml:space="preserve">This </w:t>
      </w:r>
      <w:r>
        <w:rPr>
          <w:sz w:val="25"/>
          <w:szCs w:val="25"/>
        </w:rPr>
        <w:t xml:space="preserve">decision </w:t>
      </w:r>
      <w:r w:rsidRPr="0097606E">
        <w:rPr>
          <w:sz w:val="25"/>
          <w:szCs w:val="25"/>
        </w:rPr>
        <w:t xml:space="preserve">elevated the judicial branch to be an equal partner with the executive and legislative branches. </w:t>
      </w:r>
      <w:r>
        <w:rPr>
          <w:sz w:val="25"/>
          <w:szCs w:val="25"/>
        </w:rPr>
        <w:t xml:space="preserve">The decision in </w:t>
      </w:r>
      <w:r w:rsidRPr="0097606E">
        <w:rPr>
          <w:i/>
          <w:iCs/>
          <w:sz w:val="25"/>
          <w:szCs w:val="25"/>
        </w:rPr>
        <w:t>Marbury</w:t>
      </w:r>
      <w:r>
        <w:rPr>
          <w:i/>
          <w:iCs/>
          <w:sz w:val="25"/>
          <w:szCs w:val="25"/>
        </w:rPr>
        <w:t xml:space="preserve"> v. Madison</w:t>
      </w:r>
      <w:r w:rsidRPr="0097606E">
        <w:rPr>
          <w:i/>
          <w:iCs/>
          <w:sz w:val="25"/>
          <w:szCs w:val="25"/>
        </w:rPr>
        <w:t xml:space="preserve"> </w:t>
      </w:r>
      <w:r w:rsidRPr="0097606E">
        <w:rPr>
          <w:sz w:val="25"/>
          <w:szCs w:val="25"/>
        </w:rPr>
        <w:t>greatly expanded the Supreme Court’s powers</w:t>
      </w:r>
      <w:r>
        <w:rPr>
          <w:sz w:val="25"/>
          <w:szCs w:val="25"/>
        </w:rPr>
        <w:t>.</w:t>
      </w:r>
      <w:r w:rsidRPr="0097606E">
        <w:rPr>
          <w:sz w:val="25"/>
          <w:szCs w:val="25"/>
        </w:rPr>
        <w:t xml:space="preserve"> </w:t>
      </w:r>
    </w:p>
    <w:tbl>
      <w:tblPr>
        <w:tblStyle w:val="TableGrid"/>
        <w:tblW w:w="0" w:type="auto"/>
        <w:tblLook w:val="04A0" w:firstRow="1" w:lastRow="0" w:firstColumn="1" w:lastColumn="0" w:noHBand="0" w:noVBand="1"/>
      </w:tblPr>
      <w:tblGrid>
        <w:gridCol w:w="9350"/>
      </w:tblGrid>
      <w:tr w:rsidR="00211230" w14:paraId="3837B2DC" w14:textId="77777777" w:rsidTr="00144A75">
        <w:tc>
          <w:tcPr>
            <w:tcW w:w="9350" w:type="dxa"/>
            <w:shd w:val="clear" w:color="auto" w:fill="F2F2F2" w:themeFill="background1" w:themeFillShade="F2"/>
          </w:tcPr>
          <w:p w14:paraId="4503A758" w14:textId="031F9642" w:rsidR="00211230" w:rsidRDefault="00211230" w:rsidP="00144A75">
            <w:pPr>
              <w:pStyle w:val="Basiccopysl"/>
              <w:spacing w:before="120"/>
            </w:pPr>
            <w:r>
              <w:t xml:space="preserve">Additional information about </w:t>
            </w:r>
            <w:r w:rsidRPr="008906FE">
              <w:rPr>
                <w:i/>
                <w:iCs/>
              </w:rPr>
              <w:t>Marbury v. Madison,</w:t>
            </w:r>
            <w:r>
              <w:t xml:space="preserve"> including background at three reading levels, opinion quotes and summaries, teaching activities, and additional resources, can be found at </w:t>
            </w:r>
            <w:hyperlink r:id="rId34" w:history="1">
              <w:r w:rsidRPr="00E73DD3">
                <w:rPr>
                  <w:rStyle w:val="Hyperlink"/>
                  <w:color w:val="auto"/>
                </w:rPr>
                <w:t>https://www.landmarkcases.org/</w:t>
              </w:r>
            </w:hyperlink>
            <w:r w:rsidRPr="00E73DD3">
              <w:t>.</w:t>
            </w:r>
          </w:p>
        </w:tc>
      </w:tr>
    </w:tbl>
    <w:p w14:paraId="26358D47" w14:textId="1B7008DD" w:rsidR="00211230" w:rsidRPr="00211230" w:rsidRDefault="00211230" w:rsidP="00144A75">
      <w:pPr>
        <w:sectPr w:rsidR="00211230" w:rsidRPr="00211230" w:rsidSect="00F42CDF">
          <w:headerReference w:type="default" r:id="rId35"/>
          <w:footerReference w:type="first" r:id="rId36"/>
          <w:footnotePr>
            <w:numFmt w:val="chicago"/>
          </w:footnotePr>
          <w:pgSz w:w="12240" w:h="15840"/>
          <w:pgMar w:top="1440" w:right="1440" w:bottom="1440" w:left="1440" w:header="720" w:footer="720" w:gutter="0"/>
          <w:cols w:space="720"/>
          <w:titlePg/>
          <w:docGrid w:linePitch="360"/>
        </w:sectPr>
      </w:pPr>
    </w:p>
    <w:p w14:paraId="3E34C3FB" w14:textId="77777777" w:rsidR="00F52825" w:rsidRPr="00810E29" w:rsidRDefault="00F52825" w:rsidP="00F52825">
      <w:pPr>
        <w:spacing w:after="0" w:line="276" w:lineRule="auto"/>
        <w:rPr>
          <w:sz w:val="12"/>
          <w:szCs w:val="10"/>
        </w:rPr>
      </w:pPr>
    </w:p>
    <w:p w14:paraId="6878AF9F" w14:textId="6F13BAD7" w:rsidR="00E12D32" w:rsidRPr="00F42CDF" w:rsidRDefault="00E12D32" w:rsidP="00CC30C5">
      <w:pPr>
        <w:pStyle w:val="Heading1"/>
        <w:rPr>
          <w:color w:val="000000"/>
        </w:rPr>
      </w:pPr>
      <w:bookmarkStart w:id="8" w:name="_Toc80619876"/>
      <w:r w:rsidRPr="00F42CDF">
        <w:t>McCulloch</w:t>
      </w:r>
      <w:r w:rsidRPr="00F42CDF">
        <w:rPr>
          <w:color w:val="000000"/>
        </w:rPr>
        <w:t xml:space="preserve"> v. </w:t>
      </w:r>
      <w:r w:rsidRPr="00F42CDF">
        <w:t>Maryland</w:t>
      </w:r>
      <w:r>
        <w:t xml:space="preserve"> </w:t>
      </w:r>
      <w:r w:rsidRPr="00CC30C5">
        <w:rPr>
          <w:i w:val="0"/>
          <w:iCs w:val="0"/>
        </w:rPr>
        <w:t>(1819)</w:t>
      </w:r>
      <w:bookmarkEnd w:id="8"/>
    </w:p>
    <w:p w14:paraId="78F64984" w14:textId="77777777" w:rsidR="00E12D32" w:rsidRPr="00F42CDF" w:rsidRDefault="00E12D32" w:rsidP="00F52825">
      <w:pPr>
        <w:pStyle w:val="Basiccopysl"/>
        <w:jc w:val="center"/>
      </w:pPr>
      <w:bookmarkStart w:id="9" w:name="_Hlk47981484"/>
      <w:r w:rsidRPr="00F42CDF">
        <w:rPr>
          <w:b/>
        </w:rPr>
        <w:t>Argued:</w:t>
      </w:r>
      <w:r w:rsidRPr="00F42CDF">
        <w:t xml:space="preserve"> February 22</w:t>
      </w:r>
      <w:r>
        <w:t>–</w:t>
      </w:r>
      <w:r w:rsidRPr="00F42CDF">
        <w:t>26, 1819</w:t>
      </w:r>
      <w:r>
        <w:t xml:space="preserve"> and </w:t>
      </w:r>
      <w:r w:rsidRPr="00F42CDF">
        <w:t>March 1</w:t>
      </w:r>
      <w:r>
        <w:t>–</w:t>
      </w:r>
      <w:r w:rsidRPr="00F42CDF">
        <w:t>3, 1819</w:t>
      </w:r>
    </w:p>
    <w:p w14:paraId="1B6F363B" w14:textId="77777777" w:rsidR="00E12D32" w:rsidRPr="00F42CDF" w:rsidRDefault="00E12D32" w:rsidP="00F52825">
      <w:pPr>
        <w:pStyle w:val="Basiccopysl"/>
        <w:jc w:val="center"/>
      </w:pPr>
      <w:r w:rsidRPr="00F42CDF">
        <w:rPr>
          <w:b/>
        </w:rPr>
        <w:t>Decided:</w:t>
      </w:r>
      <w:r w:rsidRPr="00F42CDF">
        <w:t xml:space="preserve"> March 6, 1819</w:t>
      </w:r>
    </w:p>
    <w:bookmarkEnd w:id="9"/>
    <w:p w14:paraId="148030DB" w14:textId="77777777" w:rsidR="00E12D32" w:rsidRPr="00F42CDF" w:rsidRDefault="00E12D32" w:rsidP="00F52825">
      <w:pPr>
        <w:pStyle w:val="Subhead2sl"/>
        <w:spacing w:line="276" w:lineRule="auto"/>
      </w:pPr>
      <w:r w:rsidRPr="00F42CDF">
        <w:t>Background</w:t>
      </w:r>
    </w:p>
    <w:p w14:paraId="14DEF69C" w14:textId="62A41B58" w:rsidR="00E12D32" w:rsidRPr="00F42CDF" w:rsidRDefault="00E12D32" w:rsidP="00F52825">
      <w:pPr>
        <w:pStyle w:val="Basiccopysl"/>
      </w:pPr>
      <w:r w:rsidRPr="00F42CDF">
        <w:t xml:space="preserve">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w:t>
      </w:r>
      <w:r>
        <w:t>people</w:t>
      </w:r>
      <w:r w:rsidRPr="00F42CDF">
        <w:t xml:space="preserve"> focused on the fact that the Constitution did not expressly grant </w:t>
      </w:r>
      <w:r w:rsidR="00FA6226">
        <w:t xml:space="preserve">Congress </w:t>
      </w:r>
      <w:r w:rsidRPr="00F42CDF">
        <w:t>the power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 xml:space="preserve"> </w:t>
      </w:r>
      <w:r w:rsidRPr="00F42CDF">
        <w:t>would create an all-powerful national government that would threaten the presumed sovereignty of the states.</w:t>
      </w:r>
    </w:p>
    <w:p w14:paraId="48A7893A" w14:textId="77777777" w:rsidR="00E12D32" w:rsidRDefault="00E12D32" w:rsidP="00F52825">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t>
      </w:r>
    </w:p>
    <w:p w14:paraId="5E4845A5" w14:textId="241BBA04" w:rsidR="00E12D32" w:rsidRPr="00F42CDF" w:rsidRDefault="00E12D32" w:rsidP="00F52825">
      <w:pPr>
        <w:pStyle w:val="Basiccopysl"/>
      </w:pPr>
      <w:r>
        <w:t xml:space="preserve">President Washington decided that </w:t>
      </w:r>
      <w:r w:rsidR="00FA6226">
        <w:t>a national b</w:t>
      </w:r>
      <w:r>
        <w:t xml:space="preserve">ank should be established and signed the bill creating it. The First Bank had a </w:t>
      </w:r>
      <w:r w:rsidR="00211230">
        <w:t xml:space="preserve">20-year </w:t>
      </w:r>
      <w:r>
        <w:t>charter and was generally a success. </w:t>
      </w:r>
      <w:r w:rsidR="00FA6226">
        <w:t xml:space="preserve">However, while James Madison was president, the bank’s </w:t>
      </w:r>
      <w:r>
        <w:t>charter was</w:t>
      </w:r>
      <w:r w:rsidR="00FA6226">
        <w:t xml:space="preserve"> </w:t>
      </w:r>
      <w:r>
        <w:t>allowed to expire in 1811. </w:t>
      </w:r>
      <w:r w:rsidRPr="00F42CDF">
        <w:t>Congress proposed a Second Bank of the United States in 1816. President Madison, who was a staunch opponent of the creation of the First Bank, approved the charter, believing that its constitutionality had been settled by prior practices and understandings.</w:t>
      </w:r>
    </w:p>
    <w:p w14:paraId="15A4A109" w14:textId="2B9187F9" w:rsidR="00E12D32" w:rsidRPr="00F42CDF" w:rsidRDefault="00E12D32" w:rsidP="00F52825">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w:t>
      </w:r>
      <w:r>
        <w:t xml:space="preserve">nited </w:t>
      </w:r>
      <w:r w:rsidRPr="00F42CDF">
        <w:t>S</w:t>
      </w:r>
      <w:r>
        <w:t>tates</w:t>
      </w:r>
      <w:r w:rsidRPr="00F42CDF">
        <w:t>.</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w:t>
      </w:r>
    </w:p>
    <w:p w14:paraId="67C2A4CB" w14:textId="77777777" w:rsidR="00E12D32" w:rsidRDefault="00E12D32" w:rsidP="00F52825">
      <w:pPr>
        <w:pStyle w:val="Subhead2sl"/>
        <w:keepNext/>
        <w:spacing w:line="276" w:lineRule="auto"/>
        <w:rPr>
          <w:color w:val="222222"/>
        </w:rPr>
      </w:pPr>
      <w:r>
        <w:lastRenderedPageBreak/>
        <w:t>Facts</w:t>
      </w:r>
    </w:p>
    <w:p w14:paraId="3138E760" w14:textId="77777777" w:rsidR="00E12D32" w:rsidRDefault="00E12D32" w:rsidP="00F52825">
      <w:pPr>
        <w:pStyle w:val="Basiccopysl"/>
      </w:pPr>
      <w:r>
        <w:t>Maryland attempted to close the Baltimore branch of the national bank by passing a law that forced all banks chartered outside of the state to pay a yearly tax (the Second Bank was the only such bank 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14:paraId="6F11095E" w14:textId="77777777" w:rsidR="00E12D32" w:rsidRDefault="00E12D32" w:rsidP="00F52825">
      <w:pPr>
        <w:pStyle w:val="Basiccopysl"/>
      </w:pPr>
      <w:r>
        <w:t>The Maryland Court of Appeals ruled in favor of Maryland, and McCulloch appealed again. The case was heard by the Supreme Court of the United States.</w:t>
      </w:r>
    </w:p>
    <w:p w14:paraId="7BA13D87" w14:textId="77777777" w:rsidR="00E12D32" w:rsidRDefault="00E12D32" w:rsidP="00F52825">
      <w:pPr>
        <w:pStyle w:val="Subhead2sl"/>
        <w:spacing w:line="276" w:lineRule="auto"/>
      </w:pPr>
      <w:r>
        <w:t>Issues</w:t>
      </w:r>
    </w:p>
    <w:p w14:paraId="73C250E9" w14:textId="77777777" w:rsidR="00E12D32" w:rsidRDefault="00E12D32" w:rsidP="00F52825">
      <w:pPr>
        <w:pStyle w:val="Basiccopysl"/>
      </w:pPr>
      <w:r>
        <w:t>Did Congress have the authority under the Constitution to commission a national bank? If so, did the state of Maryland have the authority to tax a branch of the national bank operating within its borders?</w:t>
      </w:r>
    </w:p>
    <w:p w14:paraId="00A6F801" w14:textId="77777777" w:rsidR="00E12D32" w:rsidRDefault="00E12D32" w:rsidP="00F52825">
      <w:pPr>
        <w:pStyle w:val="Subhead2sl"/>
        <w:spacing w:line="276" w:lineRule="auto"/>
      </w:pPr>
      <w:r>
        <w:rPr>
          <w:color w:val="000000"/>
        </w:rPr>
        <w:t xml:space="preserve">Constitutional </w:t>
      </w:r>
      <w:r>
        <w:t>Provisions</w:t>
      </w:r>
    </w:p>
    <w:p w14:paraId="2084ED7F" w14:textId="77777777" w:rsidR="00E12D32" w:rsidRDefault="00E12D32" w:rsidP="00F52825">
      <w:pPr>
        <w:pStyle w:val="Subhead3sl"/>
        <w:numPr>
          <w:ilvl w:val="0"/>
          <w:numId w:val="6"/>
        </w:numPr>
        <w:spacing w:before="240"/>
        <w:rPr>
          <w:color w:val="000000"/>
        </w:rPr>
      </w:pPr>
      <w:r>
        <w:t>Article I, Section 8, Clause 18 (Necessary and Proper Clause) of the U.S. Constitution</w:t>
      </w:r>
    </w:p>
    <w:p w14:paraId="2697DE48" w14:textId="77777777" w:rsidR="00E12D32" w:rsidRDefault="00E12D32" w:rsidP="00F52825">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14:paraId="2B373787" w14:textId="77777777" w:rsidR="00E12D32" w:rsidRPr="000D5454" w:rsidRDefault="00E12D32" w:rsidP="00F52825">
      <w:pPr>
        <w:pStyle w:val="Subhead3sl"/>
        <w:numPr>
          <w:ilvl w:val="0"/>
          <w:numId w:val="6"/>
        </w:numPr>
        <w:spacing w:before="240"/>
        <w:rPr>
          <w:color w:val="000000"/>
        </w:rPr>
      </w:pPr>
      <w:r w:rsidRPr="000D5454">
        <w:rPr>
          <w:color w:val="000000"/>
        </w:rPr>
        <w:t>Article VI, Clause 2 (Supremacy Clause)</w:t>
      </w:r>
      <w:r>
        <w:rPr>
          <w:color w:val="000000"/>
        </w:rPr>
        <w:t xml:space="preserve"> of the U.S. Constitution</w:t>
      </w:r>
    </w:p>
    <w:p w14:paraId="0059FD31" w14:textId="77777777" w:rsidR="00E12D32" w:rsidRDefault="00E12D32" w:rsidP="00F52825">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1752F30B" w14:textId="77777777" w:rsidR="00E12D32" w:rsidRPr="000D5454" w:rsidRDefault="00E12D32" w:rsidP="00F52825">
      <w:pPr>
        <w:pStyle w:val="Subhead3sl"/>
        <w:numPr>
          <w:ilvl w:val="0"/>
          <w:numId w:val="6"/>
        </w:numPr>
        <w:spacing w:before="240"/>
        <w:rPr>
          <w:color w:val="000000"/>
        </w:rPr>
      </w:pPr>
      <w:r>
        <w:rPr>
          <w:color w:val="000000"/>
        </w:rPr>
        <w:t>10</w:t>
      </w:r>
      <w:r w:rsidRPr="009A0066">
        <w:rPr>
          <w:color w:val="000000"/>
          <w:vertAlign w:val="superscript"/>
        </w:rPr>
        <w:t>th</w:t>
      </w:r>
      <w:r>
        <w:rPr>
          <w:color w:val="000000"/>
        </w:rPr>
        <w:t xml:space="preserve"> Amendment to the </w:t>
      </w:r>
      <w:r w:rsidRPr="000D5454">
        <w:rPr>
          <w:color w:val="000000"/>
        </w:rPr>
        <w:t>U.S. Constitution</w:t>
      </w:r>
    </w:p>
    <w:p w14:paraId="6442AB99" w14:textId="77777777" w:rsidR="00E12D32" w:rsidRDefault="00E12D32" w:rsidP="00F52825">
      <w:pPr>
        <w:pStyle w:val="Basiccopysl"/>
        <w:ind w:left="720"/>
      </w:pPr>
      <w:r>
        <w:t>“The powers not delegated to the United States by the Constitution, nor prohibited by it to the states, are reserved to the states respectively, or to the people.”</w:t>
      </w:r>
    </w:p>
    <w:p w14:paraId="6CBDFECA" w14:textId="77777777" w:rsidR="00E12D32" w:rsidRPr="002464AE" w:rsidRDefault="00E12D32" w:rsidP="00F52825">
      <w:pPr>
        <w:pStyle w:val="Subhead2sl"/>
        <w:keepNext/>
        <w:spacing w:line="276" w:lineRule="auto"/>
      </w:pPr>
      <w:r>
        <w:lastRenderedPageBreak/>
        <w:t xml:space="preserve">Arguments </w:t>
      </w:r>
      <w:r w:rsidRPr="002464AE">
        <w:t>for McCulloch (petitioner)</w:t>
      </w:r>
    </w:p>
    <w:p w14:paraId="4FE47CD3" w14:textId="77777777" w:rsidR="00E12D32" w:rsidRPr="002464AE" w:rsidRDefault="00E12D32" w:rsidP="00F52825">
      <w:pPr>
        <w:pStyle w:val="Bulletsl"/>
        <w:spacing w:line="276" w:lineRule="auto"/>
      </w:pPr>
      <w:r w:rsidRPr="002464AE">
        <w:t>The Necessary and Proper Clause permits Congress to make laws as they see fit. A law creating a national bank is necessary for the running of the country.</w:t>
      </w:r>
    </w:p>
    <w:p w14:paraId="0B9584CB" w14:textId="77777777" w:rsidR="00E12D32" w:rsidRPr="002464AE" w:rsidRDefault="00E12D32" w:rsidP="00F52825">
      <w:pPr>
        <w:pStyle w:val="Bulletsl"/>
        <w:spacing w:line="276" w:lineRule="auto"/>
      </w:pPr>
      <w:r w:rsidRPr="002464AE">
        <w:t xml:space="preserve">While the Constitution does not specifically say that Congress has the power to establish a national bank, there is also nothing in the Constitution restricting the powers of Congress to those specifically enumerated. </w:t>
      </w:r>
    </w:p>
    <w:p w14:paraId="021426EF" w14:textId="77777777" w:rsidR="00E12D32" w:rsidRPr="002464AE" w:rsidRDefault="00E12D32" w:rsidP="00F52825">
      <w:pPr>
        <w:pStyle w:val="Bulletsl"/>
        <w:spacing w:line="276" w:lineRule="auto"/>
      </w:pPr>
      <w:r w:rsidRPr="002464AE">
        <w:t xml:space="preserve">The Constitution does give Congress the power to levy taxes, borrow or spend money, and raise and support an army and navy, among other things. Establishing a national bank is “necessary and proper” to the exercise of all of those other powers. </w:t>
      </w:r>
    </w:p>
    <w:p w14:paraId="5A26415D" w14:textId="77777777" w:rsidR="00E12D32" w:rsidRPr="002464AE" w:rsidRDefault="00E12D32" w:rsidP="00F52825">
      <w:pPr>
        <w:pStyle w:val="Bulletsl"/>
        <w:spacing w:line="276" w:lineRule="auto"/>
      </w:pPr>
      <w:r w:rsidRPr="002464AE">
        <w:t>If Congress passed a law within its authority under the Constitution, a state cannot interfere with that action. Maryland is attempting to interfere with Congress’ action and might try to tax the bank so heavily that that it would be unable to exist. The Supremacy Clause prohibits that kind of state interference with federal law.</w:t>
      </w:r>
    </w:p>
    <w:p w14:paraId="08A682E1" w14:textId="77777777" w:rsidR="00E12D32" w:rsidRDefault="00E12D32" w:rsidP="00F52825">
      <w:pPr>
        <w:pStyle w:val="Subhead2sl"/>
        <w:spacing w:line="276" w:lineRule="auto"/>
      </w:pPr>
      <w:r>
        <w:t>Arguments for Maryland (respondent)</w:t>
      </w:r>
    </w:p>
    <w:p w14:paraId="76F7A00A" w14:textId="77777777" w:rsidR="00E12D32" w:rsidRPr="002464AE" w:rsidRDefault="00E12D32" w:rsidP="00F52825">
      <w:pPr>
        <w:pStyle w:val="Bulletsl"/>
        <w:spacing w:line="276" w:lineRule="auto"/>
      </w:pPr>
      <w:r w:rsidRPr="002464AE">
        <w:t>The Constitution never says that Congress may establish a national bank.</w:t>
      </w:r>
    </w:p>
    <w:p w14:paraId="14C3A994" w14:textId="77777777" w:rsidR="00E12D32" w:rsidRPr="002464AE" w:rsidRDefault="00E12D32" w:rsidP="00F52825">
      <w:pPr>
        <w:pStyle w:val="Bulletsl"/>
        <w:spacing w:line="276" w:lineRule="auto"/>
      </w:pPr>
      <w:r w:rsidRPr="002464AE">
        <w:t xml:space="preserve">The Constitution says that the powers not delegated to the United States are reserved to the states. </w:t>
      </w:r>
    </w:p>
    <w:p w14:paraId="314D55AE" w14:textId="77777777" w:rsidR="00E12D32" w:rsidRPr="002464AE" w:rsidRDefault="00E12D32" w:rsidP="00F52825">
      <w:pPr>
        <w:pStyle w:val="Bulletsl"/>
        <w:spacing w:line="276" w:lineRule="auto"/>
      </w:pPr>
      <w:r w:rsidRPr="002464AE">
        <w:t xml:space="preserve">The federal government shares the ability to raise taxes with the states—it is a concurrent power. Taxation within a sovereign state’s border, including of federal entities, is a state’s </w:t>
      </w:r>
      <w:r>
        <w:t>exercise of a state constitutional power that is a necessary attribute of its sovereignty and essential to its ability to function effectively.</w:t>
      </w:r>
    </w:p>
    <w:p w14:paraId="7EDCAF8D" w14:textId="77777777" w:rsidR="00E12D32" w:rsidRPr="002464AE" w:rsidRDefault="00E12D32" w:rsidP="00F52825">
      <w:pPr>
        <w:pStyle w:val="Bulletsl"/>
        <w:spacing w:line="276" w:lineRule="auto"/>
      </w:pPr>
      <w:r w:rsidRPr="002464AE">
        <w:t xml:space="preserve">The establishment of a national bank interferes with the states’ abilities to control their own supply of money and their own economies. </w:t>
      </w:r>
    </w:p>
    <w:p w14:paraId="7347AF07" w14:textId="77777777" w:rsidR="00E12D32" w:rsidRDefault="00E12D32" w:rsidP="00F52825">
      <w:pPr>
        <w:pStyle w:val="Subhead2sl"/>
        <w:spacing w:line="276" w:lineRule="auto"/>
      </w:pPr>
      <w:r>
        <w:t>Decision</w:t>
      </w:r>
    </w:p>
    <w:p w14:paraId="201294A8" w14:textId="77777777" w:rsidR="00E12D32" w:rsidRDefault="00E12D32" w:rsidP="00F52825">
      <w:pPr>
        <w:pStyle w:val="Basiccopysl"/>
      </w:pPr>
      <w:r>
        <w:t xml:space="preserve">The decision was unanimous in favor of McCulloch and the federal government. Chief Justice John Marshall authored the opinion of the Court. </w:t>
      </w:r>
    </w:p>
    <w:p w14:paraId="03DDC747" w14:textId="77777777" w:rsidR="00E12D32" w:rsidRDefault="00E12D32" w:rsidP="00F52825">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14:paraId="6E32A4E4" w14:textId="77777777" w:rsidR="00E12D32" w:rsidRDefault="00E12D32" w:rsidP="00F52825">
      <w:pPr>
        <w:pStyle w:val="Basiccopysl"/>
      </w:pPr>
      <w:r>
        <w:t xml:space="preserve">The Court also ruled that Maryland could not tax the Bank of the United States. </w:t>
      </w:r>
      <w:r w:rsidRPr="00786860">
        <w:t xml:space="preserve">In their decision the justices declared that “the constitution and the laws made in pursuance thereof are supreme; that </w:t>
      </w:r>
      <w:r w:rsidRPr="00786860">
        <w:lastRenderedPageBreak/>
        <w:t>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 constitutional powers.</w:t>
      </w:r>
      <w:r>
        <w:t xml:space="preserve"> </w:t>
      </w:r>
      <w:r w:rsidRPr="00786860">
        <w:t>Thus because “states have no power, by taxation or otherwise, to retard, impede, burden or in any manner control” the operation of constitutional laws passed by Congress, Maryland could not be allowed to tax a branch of the national bank, even though that branch was operating within its borders.</w:t>
      </w:r>
    </w:p>
    <w:p w14:paraId="27EC9E37" w14:textId="77777777" w:rsidR="00E12D32" w:rsidRDefault="00E12D32" w:rsidP="00F52825">
      <w:pPr>
        <w:pStyle w:val="Basiccopysl"/>
        <w:spacing w:before="360"/>
        <w:rPr>
          <w:rFonts w:ascii="Gill Sans MT" w:hAnsi="Gill Sans MT"/>
          <w:b/>
          <w:bCs/>
          <w:i/>
          <w:iCs/>
        </w:rPr>
      </w:pPr>
      <w:r w:rsidRPr="00244E87">
        <w:rPr>
          <w:rFonts w:ascii="Gill Sans MT" w:hAnsi="Gill Sans MT"/>
          <w:b/>
          <w:bCs/>
          <w:i/>
          <w:iCs/>
        </w:rPr>
        <w:t>Impact</w:t>
      </w:r>
    </w:p>
    <w:p w14:paraId="3B7E604C" w14:textId="77777777" w:rsidR="00E12D32" w:rsidRPr="00244E87" w:rsidRDefault="00E12D32" w:rsidP="00F52825">
      <w:pPr>
        <w:spacing w:after="480" w:line="276" w:lineRule="auto"/>
        <w:rPr>
          <w:szCs w:val="24"/>
        </w:rPr>
      </w:pPr>
      <w:r w:rsidRPr="00244E87">
        <w:rPr>
          <w:i/>
          <w:iCs/>
          <w:szCs w:val="24"/>
        </w:rPr>
        <w:t>McCulloch v. Maryland</w:t>
      </w:r>
      <w:r w:rsidRPr="00244E87">
        <w:rPr>
          <w:szCs w:val="24"/>
        </w:rPr>
        <w:t xml:space="preserve"> was an important case because it </w:t>
      </w:r>
      <w:r>
        <w:rPr>
          <w:szCs w:val="24"/>
        </w:rPr>
        <w:t>clarified</w:t>
      </w:r>
      <w:r w:rsidRPr="00244E87">
        <w:rPr>
          <w:szCs w:val="24"/>
        </w:rPr>
        <w:t xml:space="preserve"> how the United States federal system </w:t>
      </w:r>
      <w:r>
        <w:rPr>
          <w:szCs w:val="24"/>
        </w:rPr>
        <w:t>would</w:t>
      </w:r>
      <w:r w:rsidRPr="00244E87">
        <w:rPr>
          <w:szCs w:val="24"/>
        </w:rPr>
        <w:t xml:space="preserve"> work. </w:t>
      </w:r>
      <w:r>
        <w:rPr>
          <w:szCs w:val="24"/>
        </w:rPr>
        <w:t xml:space="preserve">The decision explained that </w:t>
      </w:r>
      <w:r w:rsidRPr="00244E87">
        <w:rPr>
          <w:szCs w:val="24"/>
        </w:rPr>
        <w:t xml:space="preserve">although certain powers were reserved for the state governments, the federal government is still strong and </w:t>
      </w:r>
      <w:r>
        <w:rPr>
          <w:szCs w:val="24"/>
        </w:rPr>
        <w:t>when laws are in conflict,</w:t>
      </w:r>
      <w:r w:rsidRPr="00244E87">
        <w:rPr>
          <w:szCs w:val="24"/>
        </w:rPr>
        <w:t xml:space="preserve"> federal law is supreme over state law</w:t>
      </w:r>
      <w:r>
        <w:rPr>
          <w:szCs w:val="24"/>
        </w:rPr>
        <w:t>. By reinforcing</w:t>
      </w:r>
      <w:r w:rsidRPr="00244E87">
        <w:rPr>
          <w:szCs w:val="24"/>
        </w:rPr>
        <w:t xml:space="preserve"> that </w:t>
      </w:r>
      <w:r>
        <w:rPr>
          <w:szCs w:val="24"/>
        </w:rPr>
        <w:t>Congress</w:t>
      </w:r>
      <w:r w:rsidRPr="00244E87">
        <w:rPr>
          <w:szCs w:val="24"/>
        </w:rPr>
        <w:t xml:space="preserve"> had implied powers that were not explicitly listed in the Constitution, </w:t>
      </w:r>
      <w:r w:rsidRPr="00244E87">
        <w:rPr>
          <w:i/>
          <w:iCs/>
          <w:szCs w:val="24"/>
        </w:rPr>
        <w:t xml:space="preserve">McCulloch v. Maryland </w:t>
      </w:r>
      <w:r w:rsidRPr="00244E87">
        <w:rPr>
          <w:szCs w:val="24"/>
        </w:rPr>
        <w:t xml:space="preserve">greatly increased the powers of </w:t>
      </w:r>
      <w:r>
        <w:rPr>
          <w:szCs w:val="24"/>
        </w:rPr>
        <w:t xml:space="preserve">Congress and, therefore, </w:t>
      </w:r>
      <w:r w:rsidRPr="00244E87">
        <w:rPr>
          <w:szCs w:val="24"/>
        </w:rPr>
        <w:t>the federal government.</w:t>
      </w:r>
      <w:r>
        <w:rPr>
          <w:szCs w:val="24"/>
        </w:rPr>
        <w:t xml:space="preserve"> </w:t>
      </w:r>
      <w:bookmarkStart w:id="10" w:name="_Hlk47982742"/>
    </w:p>
    <w:tbl>
      <w:tblPr>
        <w:tblStyle w:val="TableGrid"/>
        <w:tblW w:w="0" w:type="auto"/>
        <w:tblLook w:val="04A0" w:firstRow="1" w:lastRow="0" w:firstColumn="1" w:lastColumn="0" w:noHBand="0" w:noVBand="1"/>
      </w:tblPr>
      <w:tblGrid>
        <w:gridCol w:w="9350"/>
      </w:tblGrid>
      <w:tr w:rsidR="00E12D32" w14:paraId="305867D6" w14:textId="77777777" w:rsidTr="00E12D32">
        <w:tc>
          <w:tcPr>
            <w:tcW w:w="9350" w:type="dxa"/>
            <w:shd w:val="clear" w:color="auto" w:fill="F2F2F2" w:themeFill="background1" w:themeFillShade="F2"/>
          </w:tcPr>
          <w:p w14:paraId="7A4125E9" w14:textId="77777777" w:rsidR="00E12D32" w:rsidRDefault="00E12D32" w:rsidP="00F52825">
            <w:pPr>
              <w:pStyle w:val="Basiccopysl"/>
              <w:spacing w:before="120"/>
            </w:pPr>
            <w:r>
              <w:t xml:space="preserve">Additional information about </w:t>
            </w:r>
            <w:r w:rsidRPr="008906FE">
              <w:rPr>
                <w:i/>
                <w:iCs/>
              </w:rPr>
              <w:t>McCulloch v. Maryland,</w:t>
            </w:r>
            <w:r>
              <w:t xml:space="preserve"> including background at three reading levels, opinion quotes and summaries, teaching activities, and additional resources, can be found at </w:t>
            </w:r>
            <w:hyperlink r:id="rId37" w:history="1">
              <w:r w:rsidRPr="00E73DD3">
                <w:rPr>
                  <w:rStyle w:val="Hyperlink"/>
                  <w:color w:val="auto"/>
                </w:rPr>
                <w:t>https://www.landmarkcases.org/</w:t>
              </w:r>
            </w:hyperlink>
            <w:r w:rsidRPr="00E73DD3">
              <w:t>.</w:t>
            </w:r>
          </w:p>
        </w:tc>
      </w:tr>
      <w:bookmarkEnd w:id="10"/>
    </w:tbl>
    <w:p w14:paraId="4A9450E3" w14:textId="77777777" w:rsidR="00E12D32" w:rsidRPr="00244E87" w:rsidRDefault="00E12D32" w:rsidP="00F52825">
      <w:pPr>
        <w:pStyle w:val="Basiccopysl"/>
        <w:rPr>
          <w:rFonts w:eastAsia="Garamond" w:cs="Garamond"/>
        </w:rPr>
      </w:pPr>
    </w:p>
    <w:p w14:paraId="77CB33F2" w14:textId="77777777" w:rsidR="00E12D32" w:rsidRDefault="00E12D32" w:rsidP="00F52825">
      <w:pPr>
        <w:pStyle w:val="Heading1"/>
        <w:spacing w:line="276" w:lineRule="auto"/>
        <w:sectPr w:rsidR="00E12D32" w:rsidSect="00F42CDF">
          <w:headerReference w:type="default" r:id="rId38"/>
          <w:footerReference w:type="default" r:id="rId39"/>
          <w:headerReference w:type="first" r:id="rId40"/>
          <w:footerReference w:type="first" r:id="rId41"/>
          <w:footnotePr>
            <w:numFmt w:val="chicago"/>
          </w:footnotePr>
          <w:pgSz w:w="12240" w:h="15840"/>
          <w:pgMar w:top="1440" w:right="1440" w:bottom="1440" w:left="1440" w:header="720" w:footer="720" w:gutter="0"/>
          <w:cols w:space="720"/>
          <w:titlePg/>
          <w:docGrid w:linePitch="360"/>
        </w:sectPr>
      </w:pPr>
    </w:p>
    <w:p w14:paraId="46F920EB" w14:textId="77777777" w:rsidR="00F52825" w:rsidRPr="00810E29" w:rsidRDefault="00F52825" w:rsidP="00F52825">
      <w:pPr>
        <w:spacing w:after="0" w:line="276" w:lineRule="auto"/>
        <w:rPr>
          <w:sz w:val="12"/>
          <w:szCs w:val="10"/>
        </w:rPr>
      </w:pPr>
    </w:p>
    <w:p w14:paraId="5943567D" w14:textId="771C2CBE" w:rsidR="00E12D32" w:rsidRPr="00084153" w:rsidRDefault="00E12D32" w:rsidP="00CC30C5">
      <w:pPr>
        <w:pStyle w:val="Heading1"/>
      </w:pPr>
      <w:bookmarkStart w:id="12" w:name="_Toc80619877"/>
      <w:r w:rsidRPr="00F52825">
        <w:t>McDonald v. City of Chicago</w:t>
      </w:r>
      <w:r w:rsidRPr="00837007">
        <w:t xml:space="preserve"> </w:t>
      </w:r>
      <w:r w:rsidRPr="00CC30C5">
        <w:rPr>
          <w:i w:val="0"/>
          <w:iCs w:val="0"/>
        </w:rPr>
        <w:t>(2010)</w:t>
      </w:r>
      <w:bookmarkEnd w:id="12"/>
    </w:p>
    <w:p w14:paraId="0759D367" w14:textId="77777777" w:rsidR="00E12D32" w:rsidRPr="00ED7038" w:rsidRDefault="00E12D32" w:rsidP="00F52825">
      <w:pPr>
        <w:pStyle w:val="Argueddecideddatessl"/>
        <w:spacing w:after="120"/>
      </w:pPr>
      <w:r>
        <w:t>Argued</w:t>
      </w:r>
      <w:r w:rsidRPr="00ED7038">
        <w:t xml:space="preserve">: </w:t>
      </w:r>
      <w:r w:rsidRPr="005D78F1">
        <w:rPr>
          <w:b w:val="0"/>
        </w:rPr>
        <w:t>March 2, 2010</w:t>
      </w:r>
    </w:p>
    <w:p w14:paraId="1C0FCFAA" w14:textId="77777777" w:rsidR="00E12D32" w:rsidRPr="00ED7038" w:rsidRDefault="00E12D32" w:rsidP="00F52825">
      <w:pPr>
        <w:pStyle w:val="Argueddecideddatessl"/>
        <w:spacing w:after="120"/>
      </w:pPr>
      <w:r>
        <w:t>Decided</w:t>
      </w:r>
      <w:r w:rsidRPr="00ED7038">
        <w:t xml:space="preserve">: </w:t>
      </w:r>
      <w:r w:rsidRPr="005D78F1">
        <w:rPr>
          <w:b w:val="0"/>
        </w:rPr>
        <w:t>June 28, 2010</w:t>
      </w:r>
    </w:p>
    <w:p w14:paraId="259E7DE8" w14:textId="77777777" w:rsidR="00E12D32" w:rsidRPr="00084153" w:rsidRDefault="00E12D32" w:rsidP="00F52825">
      <w:pPr>
        <w:pStyle w:val="Subhead2sl"/>
        <w:spacing w:line="276" w:lineRule="auto"/>
      </w:pPr>
      <w:r w:rsidRPr="00084153">
        <w:t>Background</w:t>
      </w:r>
    </w:p>
    <w:p w14:paraId="4C50FC41" w14:textId="53DF66D5" w:rsidR="00E12D32" w:rsidRPr="00ED7038" w:rsidRDefault="00E12D32" w:rsidP="00F52825">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14:paraId="59EA34AF" w14:textId="3C78EAE5" w:rsidR="00E12D32" w:rsidRPr="00ED7038" w:rsidRDefault="00E12D32" w:rsidP="00F52825">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sidR="0014205C">
        <w:rPr>
          <w:rFonts w:cs="Palatino Linotype"/>
        </w:rPr>
        <w:t xml:space="preserve"> through </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14:paraId="08F40D12" w14:textId="77777777" w:rsidR="00E12D32" w:rsidRPr="00084153" w:rsidRDefault="00E12D32" w:rsidP="00F52825">
      <w:pPr>
        <w:pStyle w:val="Subhead2sl"/>
        <w:spacing w:line="276" w:lineRule="auto"/>
      </w:pPr>
      <w:r w:rsidRPr="00084153">
        <w:t>Facts</w:t>
      </w:r>
    </w:p>
    <w:p w14:paraId="15A629CF" w14:textId="77777777" w:rsidR="00E12D32" w:rsidRPr="00ED7038" w:rsidRDefault="00E12D32" w:rsidP="00F52825">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14:paraId="229E9B81" w14:textId="4DB64D97" w:rsidR="00E12D32" w:rsidRPr="00ED7038" w:rsidRDefault="00E12D32" w:rsidP="00F52825">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w:t>
      </w:r>
      <w:r w:rsidRPr="00144A75">
        <w:rPr>
          <w:rFonts w:cs="Palatino Linotype"/>
          <w:bCs/>
          <w:vertAlign w:val="superscript"/>
        </w:rPr>
        <w:t>th</w:t>
      </w:r>
      <w:r w:rsidRPr="00ED7038">
        <w:rPr>
          <w:rFonts w:cs="Palatino Linotype"/>
          <w:bCs/>
        </w:rPr>
        <w:t xml:space="preserve"> Amendment rights. Specifically, the residents argue</w:t>
      </w:r>
      <w:r>
        <w:rPr>
          <w:rFonts w:cs="Palatino Linotype"/>
          <w:bCs/>
        </w:rPr>
        <w:t>d</w:t>
      </w:r>
      <w:r w:rsidRPr="00ED7038">
        <w:rPr>
          <w:rFonts w:cs="Palatino Linotype"/>
          <w:bCs/>
        </w:rPr>
        <w:t xml:space="preserve"> that the 14</w:t>
      </w:r>
      <w:r w:rsidRPr="00144A75">
        <w:rPr>
          <w:rFonts w:cs="Palatino Linotype"/>
          <w:bCs/>
          <w:vertAlign w:val="superscript"/>
        </w:rPr>
        <w:t>th</w:t>
      </w:r>
      <w:r w:rsidRPr="00ED7038">
        <w:rPr>
          <w:rFonts w:cs="Palatino Linotype"/>
          <w:bCs/>
        </w:rPr>
        <w:t xml:space="preserve">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14:paraId="39C06B45" w14:textId="4B55ABFD" w:rsidR="00E12D32" w:rsidRDefault="00E12D32" w:rsidP="00F52825">
      <w:pPr>
        <w:pStyle w:val="Basiccopysl"/>
      </w:pPr>
      <w:r w:rsidRPr="00ED7038">
        <w:rPr>
          <w:rFonts w:cs="Palatino Linotype"/>
          <w:bCs/>
        </w:rPr>
        <w:lastRenderedPageBreak/>
        <w:t xml:space="preserve">The federal </w:t>
      </w:r>
      <w:r w:rsidR="00E60338">
        <w:rPr>
          <w:rFonts w:cs="Palatino Linotype"/>
          <w:bCs/>
        </w:rPr>
        <w:t>D</w:t>
      </w:r>
      <w:r w:rsidR="00E60338" w:rsidRPr="00ED7038">
        <w:rPr>
          <w:rFonts w:cs="Palatino Linotype"/>
          <w:bCs/>
        </w:rPr>
        <w:t xml:space="preserve">istrict </w:t>
      </w:r>
      <w:r w:rsidR="00E60338">
        <w:rPr>
          <w:rFonts w:cs="Palatino Linotype"/>
          <w:bCs/>
        </w:rPr>
        <w:t>C</w:t>
      </w:r>
      <w:r w:rsidRPr="00ED7038">
        <w:rPr>
          <w:rFonts w:cs="Palatino Linotype"/>
          <w:bCs/>
        </w:rPr>
        <w:t>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14:paraId="25E013E1" w14:textId="77777777" w:rsidR="00E12D32" w:rsidRPr="00ED7038" w:rsidRDefault="00E12D32" w:rsidP="00F52825">
      <w:pPr>
        <w:pStyle w:val="Subhead2sl"/>
        <w:spacing w:line="276" w:lineRule="auto"/>
      </w:pPr>
      <w:r w:rsidRPr="00ED7038">
        <w:t>Issue</w:t>
      </w:r>
    </w:p>
    <w:p w14:paraId="2067621A" w14:textId="77777777" w:rsidR="00E12D32" w:rsidRPr="00ED7038" w:rsidRDefault="00E12D32" w:rsidP="00F52825">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w:t>
      </w:r>
      <w:r w:rsidRPr="000E3154">
        <w:rPr>
          <w:rFonts w:cs="Palatino Linotype"/>
          <w:bCs/>
          <w:vertAlign w:val="superscript"/>
        </w:rPr>
        <w:t>th</w:t>
      </w:r>
      <w:r w:rsidRPr="00ED7038">
        <w:rPr>
          <w:rFonts w:cs="Palatino Linotype"/>
          <w:bCs/>
        </w:rPr>
        <w:t xml:space="preserve"> Amendment and thus limit Chicago’s ability to regulate guns?</w:t>
      </w:r>
    </w:p>
    <w:p w14:paraId="392B3E3C" w14:textId="77777777" w:rsidR="00E12D32" w:rsidRPr="00084153" w:rsidRDefault="00E12D32" w:rsidP="00F52825">
      <w:pPr>
        <w:pStyle w:val="Subhead2sl"/>
        <w:spacing w:line="276" w:lineRule="auto"/>
      </w:pPr>
      <w:r w:rsidRPr="00084153">
        <w:t>Constitutional Amendments</w:t>
      </w:r>
      <w:r>
        <w:t xml:space="preserve"> and Supreme Court Precedents</w:t>
      </w:r>
      <w:r w:rsidRPr="00084153">
        <w:t xml:space="preserve"> </w:t>
      </w:r>
    </w:p>
    <w:p w14:paraId="4AFF65E1" w14:textId="77777777" w:rsidR="00E12D32" w:rsidRPr="005D78F1" w:rsidRDefault="00E12D32" w:rsidP="00F52825">
      <w:pPr>
        <w:pStyle w:val="Amendmentprecedentbulletsl"/>
        <w:spacing w:line="276" w:lineRule="auto"/>
        <w:rPr>
          <w:i/>
        </w:rPr>
      </w:pPr>
      <w:r>
        <w:t>Seco</w:t>
      </w:r>
      <w:r w:rsidRPr="005D78F1">
        <w:t>nd Amendment to the U.S. Constitution</w:t>
      </w:r>
    </w:p>
    <w:p w14:paraId="42F439A9" w14:textId="77777777" w:rsidR="00E12D32" w:rsidRPr="005D78F1" w:rsidRDefault="00E12D32" w:rsidP="00F52825">
      <w:pPr>
        <w:pStyle w:val="Indentedbasiccopysl"/>
      </w:pPr>
      <w:r w:rsidRPr="005D78F1">
        <w:t>“A well regulated Militia, being necessary to the security of a free State, the right of the people to keep and bear Arms, shall not be infringed.”</w:t>
      </w:r>
    </w:p>
    <w:p w14:paraId="2E54E8D4" w14:textId="77777777" w:rsidR="00E12D32" w:rsidRPr="005D78F1" w:rsidRDefault="00E12D32" w:rsidP="00F52825">
      <w:pPr>
        <w:pStyle w:val="Amendmentprecedentbulletsl"/>
        <w:spacing w:line="276" w:lineRule="auto"/>
      </w:pPr>
      <w:r w:rsidRPr="005D78F1">
        <w:t>14</w:t>
      </w:r>
      <w:r w:rsidRPr="00144A75">
        <w:rPr>
          <w:vertAlign w:val="superscript"/>
        </w:rPr>
        <w:t>th</w:t>
      </w:r>
      <w:r w:rsidRPr="005D78F1">
        <w:t xml:space="preserve"> Amendment to the U.S. Constitution</w:t>
      </w:r>
    </w:p>
    <w:p w14:paraId="0A74DE17" w14:textId="77777777" w:rsidR="00E12D32" w:rsidRPr="005D78F1" w:rsidRDefault="00E12D32" w:rsidP="00F52825">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14:paraId="4078E05D" w14:textId="77777777" w:rsidR="00E12D32" w:rsidRPr="008906FE" w:rsidRDefault="00E12D32" w:rsidP="00F52825">
      <w:pPr>
        <w:pStyle w:val="Amendmentprecedentbulletsl"/>
        <w:spacing w:line="276" w:lineRule="auto"/>
        <w:rPr>
          <w:b w:val="0"/>
          <w:bCs/>
        </w:rPr>
      </w:pPr>
      <w:r w:rsidRPr="008906FE">
        <w:rPr>
          <w:b w:val="0"/>
          <w:bCs/>
          <w:i/>
        </w:rPr>
        <w:t>Duncan v. Louisiana</w:t>
      </w:r>
      <w:r w:rsidRPr="008906FE">
        <w:rPr>
          <w:b w:val="0"/>
          <w:bCs/>
        </w:rPr>
        <w:t xml:space="preserve"> (1968)</w:t>
      </w:r>
    </w:p>
    <w:p w14:paraId="7844189D" w14:textId="6AE1CFA2" w:rsidR="00E12D32" w:rsidRPr="00F64721" w:rsidRDefault="00E12D32" w:rsidP="00F52825">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 xml:space="preserve">mendment, the justices considered whether the right at issue was fundamental and rooted in the tradition and conscience of the American people. When </w:t>
      </w:r>
      <w:r w:rsidR="00E60338">
        <w:t>t</w:t>
      </w:r>
      <w:r w:rsidRPr="00ED7038">
        <w:t>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14:paraId="67712E27" w14:textId="77777777" w:rsidR="00E12D32" w:rsidRPr="008906FE" w:rsidRDefault="00E12D32" w:rsidP="00F52825">
      <w:pPr>
        <w:pStyle w:val="Amendmentprecedentbulletsl"/>
        <w:spacing w:line="276" w:lineRule="auto"/>
        <w:rPr>
          <w:b w:val="0"/>
          <w:bCs/>
        </w:rPr>
      </w:pPr>
      <w:r w:rsidRPr="008906FE">
        <w:rPr>
          <w:b w:val="0"/>
          <w:bCs/>
          <w:i/>
        </w:rPr>
        <w:t xml:space="preserve">District of Columbia v. </w:t>
      </w:r>
      <w:r w:rsidRPr="008906FE">
        <w:rPr>
          <w:b w:val="0"/>
          <w:bCs/>
          <w:i/>
          <w:iCs/>
        </w:rPr>
        <w:t>Heller</w:t>
      </w:r>
      <w:r w:rsidRPr="008906FE">
        <w:rPr>
          <w:b w:val="0"/>
          <w:bCs/>
        </w:rPr>
        <w:t xml:space="preserve"> (2008)</w:t>
      </w:r>
    </w:p>
    <w:p w14:paraId="7C047664" w14:textId="77777777" w:rsidR="00E12D32" w:rsidRPr="00F64721" w:rsidRDefault="00E12D32" w:rsidP="00F52825">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w:t>
      </w:r>
      <w:r w:rsidRPr="00ED7038">
        <w:lastRenderedPageBreak/>
        <w:t>individuals to possess weapons for self-defense</w:t>
      </w:r>
      <w:r>
        <w:t>,</w:t>
      </w:r>
      <w:r w:rsidRPr="00ED7038">
        <w:t xml:space="preserve"> indicated that the Framers recognized an individual right to bear arms as a fundamental right. </w:t>
      </w:r>
    </w:p>
    <w:p w14:paraId="523ECD91" w14:textId="77777777" w:rsidR="00E12D32" w:rsidRPr="00ED7038" w:rsidRDefault="00E12D32" w:rsidP="00F52825">
      <w:pPr>
        <w:pStyle w:val="Indentedbasiccopysl"/>
        <w:rPr>
          <w:b/>
          <w:bCs/>
        </w:rPr>
      </w:pPr>
      <w:r w:rsidRPr="00ED7038">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14:paraId="4E611B9A" w14:textId="77777777" w:rsidR="00E12D32" w:rsidRPr="00ED7038" w:rsidRDefault="00E12D32" w:rsidP="00F52825">
      <w:pPr>
        <w:pStyle w:val="Subhead2sl"/>
        <w:spacing w:line="276" w:lineRule="auto"/>
      </w:pPr>
      <w:r w:rsidRPr="00ED7038">
        <w:t>Arguments for McDonald</w:t>
      </w:r>
      <w:r>
        <w:t xml:space="preserve"> (petitioner)</w:t>
      </w:r>
    </w:p>
    <w:p w14:paraId="7E6CBA4F" w14:textId="77777777" w:rsidR="00E12D32" w:rsidRPr="00ED7038" w:rsidRDefault="00E12D32" w:rsidP="00F52825">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14:paraId="2C3460F6" w14:textId="77777777" w:rsidR="00E12D32" w:rsidRPr="00ED7038" w:rsidRDefault="00E12D32" w:rsidP="00F52825">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14:paraId="7078855F" w14:textId="77777777" w:rsidR="00E12D32" w:rsidRPr="00ED7038" w:rsidRDefault="00E12D32" w:rsidP="00F52825">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14:paraId="5AA17CB4" w14:textId="77777777" w:rsidR="00E12D32" w:rsidRPr="00ED7038" w:rsidRDefault="00E12D32" w:rsidP="00F52825">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14:paraId="0039F483" w14:textId="77777777" w:rsidR="00E12D32" w:rsidRPr="00ED7038" w:rsidRDefault="00E12D32" w:rsidP="00F52825">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14:paraId="4A660760" w14:textId="77777777" w:rsidR="00E12D32" w:rsidRPr="00084153" w:rsidRDefault="00E12D32" w:rsidP="00F52825">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14:paraId="4735DA26" w14:textId="77777777" w:rsidR="00E12D32" w:rsidRPr="00ED7038" w:rsidRDefault="00E12D32" w:rsidP="00F52825">
      <w:pPr>
        <w:pStyle w:val="Subhead2sl"/>
        <w:spacing w:line="276" w:lineRule="auto"/>
      </w:pPr>
      <w:r w:rsidRPr="00ED7038">
        <w:t>Arguments for Chicago</w:t>
      </w:r>
      <w:r>
        <w:t xml:space="preserve"> (respondent)</w:t>
      </w:r>
    </w:p>
    <w:p w14:paraId="77FEB7B9" w14:textId="77777777" w:rsidR="00E12D32" w:rsidRPr="00ED7038" w:rsidRDefault="00E12D32" w:rsidP="00F52825">
      <w:pPr>
        <w:pStyle w:val="Bulletsl"/>
        <w:spacing w:line="276" w:lineRule="auto"/>
      </w:pPr>
      <w:r w:rsidRPr="00ED7038">
        <w:t xml:space="preserve">The Constitution and Bill of Rights have traditionally been understood as limits on the federal government, not the states. </w:t>
      </w:r>
    </w:p>
    <w:p w14:paraId="01DB1ED6" w14:textId="77777777" w:rsidR="00E12D32" w:rsidRPr="00ED7038" w:rsidRDefault="00E12D32" w:rsidP="00F52825">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14:paraId="4E3A9723" w14:textId="33729F18" w:rsidR="00E12D32" w:rsidRPr="00ED7038" w:rsidRDefault="00E12D32" w:rsidP="00F52825">
      <w:pPr>
        <w:pStyle w:val="Bulletsl"/>
        <w:spacing w:line="276" w:lineRule="auto"/>
      </w:pPr>
      <w:r w:rsidRPr="00ED7038">
        <w:lastRenderedPageBreak/>
        <w:t>Even if gun</w:t>
      </w:r>
      <w:r w:rsidR="00E60338">
        <w:t xml:space="preserve"> ownership was </w:t>
      </w:r>
      <w:r w:rsidRPr="00ED7038">
        <w:t xml:space="preserve">important at the time of the </w:t>
      </w:r>
      <w:r>
        <w:t>f</w:t>
      </w:r>
      <w:r w:rsidRPr="00ED7038">
        <w:t>ounding</w:t>
      </w:r>
      <w:r w:rsidR="00046162">
        <w:t xml:space="preserve"> of the United States</w:t>
      </w:r>
      <w:r w:rsidRPr="00ED7038">
        <w:t xml:space="preserve">,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14:paraId="38C4F7AE" w14:textId="77777777" w:rsidR="00E12D32" w:rsidRPr="00ED7038" w:rsidRDefault="00E12D32" w:rsidP="00F52825">
      <w:pPr>
        <w:pStyle w:val="Bulletsl"/>
        <w:spacing w:line="276" w:lineRule="auto"/>
      </w:pPr>
      <w:r w:rsidRPr="00ED7038">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14:paraId="775E9025" w14:textId="055E2CA7" w:rsidR="00E12D32" w:rsidRPr="00ED7038" w:rsidRDefault="00E12D32" w:rsidP="00F52825">
      <w:pPr>
        <w:pStyle w:val="Bulletsl"/>
        <w:spacing w:line="276" w:lineRule="auto"/>
      </w:pPr>
      <w:r w:rsidRPr="00ED7038">
        <w:t xml:space="preserve">Unlike </w:t>
      </w:r>
      <w:r w:rsidR="00046162">
        <w:t xml:space="preserve">the </w:t>
      </w:r>
      <w:r>
        <w:t>D</w:t>
      </w:r>
      <w:r w:rsidR="00046162">
        <w:t xml:space="preserve">istrict of </w:t>
      </w:r>
      <w:r>
        <w:t>C</w:t>
      </w:r>
      <w:r w:rsidR="00046162">
        <w:t>olumbia</w:t>
      </w:r>
      <w:r>
        <w:t>’s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14:paraId="01CCD5A7" w14:textId="77777777" w:rsidR="00E12D32" w:rsidRPr="00ED7038" w:rsidRDefault="00E12D32" w:rsidP="00F52825">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14:paraId="2A2D2509" w14:textId="77777777" w:rsidR="00E12D32" w:rsidRPr="00ED7038" w:rsidRDefault="00E12D32" w:rsidP="00F52825">
      <w:pPr>
        <w:pStyle w:val="Subhead2sl"/>
        <w:spacing w:before="480" w:line="276" w:lineRule="auto"/>
      </w:pPr>
      <w:r w:rsidRPr="00ED7038">
        <w:t>Decision</w:t>
      </w:r>
    </w:p>
    <w:p w14:paraId="20F29B0C" w14:textId="14BA3F86" w:rsidR="00E12D32" w:rsidRPr="00ED7038" w:rsidRDefault="00046162" w:rsidP="00F52825">
      <w:pPr>
        <w:pStyle w:val="Basiccopysl"/>
      </w:pPr>
      <w:r w:rsidRPr="00046162">
        <w:t xml:space="preserve">The Supreme Court ruled, </w:t>
      </w:r>
      <w:r>
        <w:t>5</w:t>
      </w:r>
      <w:r w:rsidRPr="00046162">
        <w:t>-</w:t>
      </w:r>
      <w:r>
        <w:t>4</w:t>
      </w:r>
      <w:r w:rsidRPr="00046162">
        <w:t xml:space="preserve">, in favor of </w:t>
      </w:r>
      <w:r>
        <w:t>McDonald</w:t>
      </w:r>
      <w:r w:rsidRPr="00046162">
        <w:t xml:space="preserve">. </w:t>
      </w:r>
      <w:r w:rsidR="00E12D32" w:rsidRPr="00ED7038">
        <w:t>Justice Alito announced the judgment and opinion of the Court. Chief Justice Roberts and Justices Scalia and Kennedy joined Justice Alito’s opinion in full, and Justice Thomas joined only in part. Justices Stevens, Breyer, Ginsburg</w:t>
      </w:r>
      <w:r w:rsidR="00E12D32">
        <w:t>,</w:t>
      </w:r>
      <w:r w:rsidR="00E12D32" w:rsidRPr="00ED7038">
        <w:t xml:space="preserve"> and Sotomayor dissented.</w:t>
      </w:r>
    </w:p>
    <w:p w14:paraId="1632DE7F" w14:textId="77777777" w:rsidR="00E12D32" w:rsidRDefault="00E12D32" w:rsidP="00F52825">
      <w:pPr>
        <w:pStyle w:val="Subhead3sl"/>
      </w:pPr>
      <w:r w:rsidRPr="003E0AA5">
        <w:t>Majority</w:t>
      </w:r>
    </w:p>
    <w:p w14:paraId="388E7E63" w14:textId="08E3B553" w:rsidR="00E12D32" w:rsidRPr="00A91FD2" w:rsidRDefault="00E12D32" w:rsidP="00F52825">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is fully applicable to the states under the 14</w:t>
      </w:r>
      <w:r w:rsidRPr="00144A75">
        <w:rPr>
          <w:vertAlign w:val="superscript"/>
        </w:rPr>
        <w:t>th</w:t>
      </w:r>
      <w:r w:rsidRPr="00ED7038">
        <w:t xml:space="preserve">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scheme of ordered liberty and system of justice.” Relying on a variety of historical records, the Court determined that both the Framers and those who ratified the 14</w:t>
      </w:r>
      <w:r w:rsidRPr="00144A75">
        <w:rPr>
          <w:rFonts w:cs="Century Schoolbook"/>
          <w:color w:val="000000"/>
          <w:vertAlign w:val="superscript"/>
        </w:rPr>
        <w:t>th</w:t>
      </w:r>
      <w:r w:rsidRPr="00ED7038">
        <w:rPr>
          <w:rFonts w:cs="Century Schoolbook"/>
          <w:color w:val="000000"/>
        </w:rPr>
        <w:t xml:space="preserve">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14:paraId="4D93640C" w14:textId="77777777" w:rsidR="00E12D32" w:rsidRPr="00ED7038" w:rsidRDefault="00E12D32" w:rsidP="00F52825">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144A75">
        <w:rPr>
          <w:rFonts w:cs="Century Schoolbook"/>
          <w:iCs/>
          <w:color w:val="000000"/>
        </w:rPr>
        <w:t>majority</w:t>
      </w:r>
      <w:r w:rsidRPr="00ED7038">
        <w:rPr>
          <w:rFonts w:cs="Century Schoolbook"/>
          <w:color w:val="000000"/>
        </w:rPr>
        <w:t xml:space="preserve"> for that part of the opinion, however, it is not the law. </w:t>
      </w:r>
    </w:p>
    <w:p w14:paraId="70171987" w14:textId="77777777" w:rsidR="00E12D32" w:rsidRPr="003E0AA5" w:rsidRDefault="00E12D32" w:rsidP="00F52825">
      <w:pPr>
        <w:pStyle w:val="Subhead3sl"/>
        <w:keepNext/>
      </w:pPr>
      <w:r w:rsidRPr="003E0AA5">
        <w:lastRenderedPageBreak/>
        <w:t>Dissent</w:t>
      </w:r>
      <w:r>
        <w:t>s</w:t>
      </w:r>
    </w:p>
    <w:p w14:paraId="413B3891" w14:textId="48C6F73E" w:rsidR="00E12D32" w:rsidRDefault="00E12D32" w:rsidP="00F52825">
      <w:pPr>
        <w:pStyle w:val="Basiccopysl"/>
        <w:rPr>
          <w:rFonts w:cs="Century Schoolbook"/>
          <w:color w:val="000000"/>
        </w:rPr>
      </w:pPr>
      <w:r>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w:t>
      </w:r>
      <w:r w:rsidRPr="00144A75">
        <w:rPr>
          <w:vertAlign w:val="superscript"/>
        </w:rPr>
        <w:t>th</w:t>
      </w:r>
      <w:r w:rsidRPr="00ED7038">
        <w:t xml:space="preserve"> Amendment. He asserted that nothing in the Second Amendment’s text, history, or underlying rationale made it “fundamental” and protective of 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14:paraId="1407F16C" w14:textId="18203F08" w:rsidR="00C475E6" w:rsidRDefault="00C475E6" w:rsidP="00C475E6">
      <w:pPr>
        <w:pStyle w:val="Subhead2sl"/>
      </w:pPr>
      <w:r>
        <w:t>Impact</w:t>
      </w:r>
    </w:p>
    <w:p w14:paraId="4311A464" w14:textId="77777777" w:rsidR="00C475E6" w:rsidRPr="00C475E6" w:rsidRDefault="00C475E6" w:rsidP="00C475E6">
      <w:pPr>
        <w:pStyle w:val="Basiccopysl"/>
      </w:pPr>
      <w:r w:rsidRPr="00C475E6">
        <w:rPr>
          <w:i/>
          <w:iCs/>
        </w:rPr>
        <w:t>McDonald v. Chicago</w:t>
      </w:r>
      <w:r w:rsidRPr="00C475E6">
        <w:t xml:space="preserve"> struck down Chicago’s handgun ban and held that the Second Amendment right to keep guns for the purposes of self-defense is incorporated against the states. It expanded the ruling of </w:t>
      </w:r>
      <w:r w:rsidRPr="00C475E6">
        <w:rPr>
          <w:i/>
          <w:iCs/>
        </w:rPr>
        <w:t>Heller</w:t>
      </w:r>
      <w:r w:rsidRPr="00C475E6">
        <w:t xml:space="preserve"> to apply to all state governments, not just the District of Columbia and the federal government. This means that all gun laws, including state and federal laws, must adhere to the Second Amendment in order to be constitutional. </w:t>
      </w:r>
    </w:p>
    <w:p w14:paraId="1FFBCFA4" w14:textId="77777777" w:rsidR="00C475E6" w:rsidRPr="00C475E6" w:rsidRDefault="00C475E6" w:rsidP="00C475E6">
      <w:pPr>
        <w:pStyle w:val="Basiccopysl"/>
      </w:pPr>
      <w:r w:rsidRPr="00C475E6">
        <w:t xml:space="preserve">However, the Court did not use </w:t>
      </w:r>
      <w:r w:rsidRPr="00C475E6">
        <w:rPr>
          <w:i/>
          <w:iCs/>
        </w:rPr>
        <w:t>McDonald</w:t>
      </w:r>
      <w:r w:rsidRPr="00C475E6">
        <w:t xml:space="preserve"> to strike down every state and federal law relating to the possession of guns. Although Justice Alito wrote in his opinion that the ruling in </w:t>
      </w:r>
      <w:r w:rsidRPr="00C475E6">
        <w:rPr>
          <w:i/>
          <w:iCs/>
        </w:rPr>
        <w:t>McDonald</w:t>
      </w:r>
      <w:r w:rsidRPr="00C475E6">
        <w:t xml:space="preserve"> “does not imperil every law regulating firearms,” the Court did not answer the question of which kinds of regulations would be permissible under the Second Amendment. Following </w:t>
      </w:r>
      <w:r w:rsidRPr="00C475E6">
        <w:rPr>
          <w:i/>
          <w:iCs/>
        </w:rPr>
        <w:t>McDonald,</w:t>
      </w:r>
      <w:r w:rsidRPr="00C475E6">
        <w:t xml:space="preserve"> guns rights advocates filed lawsuits across the country, arguing that state gun laws were either wholly or in part unconstitutional. </w:t>
      </w:r>
    </w:p>
    <w:p w14:paraId="7904D637" w14:textId="4C925F55" w:rsidR="00C475E6" w:rsidRPr="00C475E6" w:rsidRDefault="00C475E6" w:rsidP="00C475E6">
      <w:pPr>
        <w:pStyle w:val="Basiccopysl"/>
      </w:pPr>
      <w:r w:rsidRPr="00C475E6">
        <w:t xml:space="preserve">Courts are still determining what restrictions on gun ownership are constitutional under the Second Amendment and the Supreme Court’s ruling in </w:t>
      </w:r>
      <w:r w:rsidRPr="00C475E6">
        <w:rPr>
          <w:i/>
          <w:iCs/>
        </w:rPr>
        <w:t>McDonald</w:t>
      </w:r>
      <w:r w:rsidRPr="00C475E6">
        <w:t xml:space="preserve">. Since </w:t>
      </w:r>
      <w:r>
        <w:t xml:space="preserve">it </w:t>
      </w:r>
      <w:r w:rsidRPr="00C475E6">
        <w:t xml:space="preserve">was decided in 2010, the Court has heard very few cases relating to gun rights. </w:t>
      </w:r>
    </w:p>
    <w:p w14:paraId="281EDD04" w14:textId="77777777" w:rsidR="00C475E6" w:rsidRPr="00F42CDF" w:rsidRDefault="00C475E6" w:rsidP="00F52825">
      <w:pPr>
        <w:pStyle w:val="Basiccopysl"/>
      </w:pPr>
    </w:p>
    <w:p w14:paraId="2813EE9D" w14:textId="77777777" w:rsidR="00E12D32" w:rsidRDefault="00E12D32" w:rsidP="00F52825">
      <w:pPr>
        <w:pStyle w:val="Heading1"/>
        <w:spacing w:line="276" w:lineRule="auto"/>
        <w:sectPr w:rsidR="00E12D32" w:rsidSect="00F42CDF">
          <w:headerReference w:type="default" r:id="rId42"/>
          <w:footerReference w:type="default" r:id="rId43"/>
          <w:headerReference w:type="first" r:id="rId44"/>
          <w:footerReference w:type="first" r:id="rId45"/>
          <w:footnotePr>
            <w:numFmt w:val="chicago"/>
          </w:footnotePr>
          <w:pgSz w:w="12240" w:h="15840"/>
          <w:pgMar w:top="1440" w:right="1440" w:bottom="1440" w:left="1440" w:header="720" w:footer="720" w:gutter="0"/>
          <w:cols w:space="720"/>
          <w:titlePg/>
          <w:docGrid w:linePitch="360"/>
        </w:sectPr>
      </w:pPr>
    </w:p>
    <w:p w14:paraId="58A27857" w14:textId="77777777" w:rsidR="00F52825" w:rsidRPr="00810E29" w:rsidRDefault="00F52825" w:rsidP="00F52825">
      <w:pPr>
        <w:spacing w:after="0" w:line="276" w:lineRule="auto"/>
        <w:rPr>
          <w:sz w:val="12"/>
          <w:szCs w:val="10"/>
        </w:rPr>
      </w:pPr>
    </w:p>
    <w:p w14:paraId="3E4C1723" w14:textId="2F1B9881" w:rsidR="00E12D32" w:rsidRPr="00EF1282" w:rsidRDefault="00E12D32" w:rsidP="00CC30C5">
      <w:pPr>
        <w:pStyle w:val="Heading1"/>
      </w:pPr>
      <w:bookmarkStart w:id="13" w:name="_Toc80619878"/>
      <w:bookmarkStart w:id="14" w:name="_Hlk80775650"/>
      <w:r w:rsidRPr="00F52825">
        <w:t>New York Times Co. v. U</w:t>
      </w:r>
      <w:r w:rsidR="00F52825">
        <w:t xml:space="preserve">nited </w:t>
      </w:r>
      <w:r w:rsidRPr="00F52825">
        <w:t>S</w:t>
      </w:r>
      <w:r w:rsidR="00F52825">
        <w:t>tates</w:t>
      </w:r>
      <w:r>
        <w:t xml:space="preserve"> </w:t>
      </w:r>
      <w:r w:rsidRPr="00CC30C5">
        <w:rPr>
          <w:i w:val="0"/>
          <w:iCs w:val="0"/>
        </w:rPr>
        <w:t>(1971)</w:t>
      </w:r>
      <w:bookmarkEnd w:id="13"/>
    </w:p>
    <w:p w14:paraId="08205ECD" w14:textId="77777777" w:rsidR="00E12D32" w:rsidRDefault="00E12D32" w:rsidP="00F52825">
      <w:pPr>
        <w:pStyle w:val="Basiccopysl"/>
        <w:jc w:val="center"/>
        <w:rPr>
          <w:b/>
        </w:rPr>
      </w:pPr>
      <w:r w:rsidRPr="002279AE">
        <w:rPr>
          <w:b/>
        </w:rPr>
        <w:t>Argued:</w:t>
      </w:r>
      <w:r w:rsidRPr="00EF1282">
        <w:t xml:space="preserve"> June 26, 1971</w:t>
      </w:r>
    </w:p>
    <w:p w14:paraId="5CE1A414" w14:textId="77777777" w:rsidR="00E12D32" w:rsidRPr="00EF1282" w:rsidRDefault="00E12D32" w:rsidP="00F52825">
      <w:pPr>
        <w:pStyle w:val="Basiccopysl"/>
        <w:jc w:val="center"/>
        <w:rPr>
          <w:b/>
        </w:rPr>
      </w:pPr>
      <w:r w:rsidRPr="002279AE">
        <w:rPr>
          <w:b/>
        </w:rPr>
        <w:t>Decided:</w:t>
      </w:r>
      <w:r w:rsidRPr="00EF1282">
        <w:t xml:space="preserve"> June 30, 1971</w:t>
      </w:r>
    </w:p>
    <w:p w14:paraId="576089A7" w14:textId="77777777" w:rsidR="00E12D32" w:rsidRPr="002279AE" w:rsidRDefault="00E12D32" w:rsidP="00F52825">
      <w:pPr>
        <w:pStyle w:val="Subhead2sl"/>
        <w:spacing w:line="276" w:lineRule="auto"/>
      </w:pPr>
      <w:r w:rsidRPr="002279AE">
        <w:t>Background</w:t>
      </w:r>
    </w:p>
    <w:p w14:paraId="2D8DA535" w14:textId="77777777" w:rsidR="00E12D32" w:rsidRPr="002279AE" w:rsidRDefault="00E12D32" w:rsidP="00F52825">
      <w:pPr>
        <w:pStyle w:val="Basiccopysl"/>
      </w:pPr>
      <w:r w:rsidRPr="002279AE">
        <w:t xml:space="preserve">The United States’ involvement in the Vietnam War became increasingly controversial and unpopular among Americans as the conflict persisted over a decade. </w:t>
      </w:r>
    </w:p>
    <w:p w14:paraId="2E07BE6B" w14:textId="6A4BAD9E" w:rsidR="00E12D32" w:rsidRPr="002279AE" w:rsidRDefault="00E12D32" w:rsidP="00F52825">
      <w:pPr>
        <w:pStyle w:val="Basiccopysl"/>
      </w:pPr>
      <w:r w:rsidRPr="002279AE">
        <w:t>Since security and secrecy were important to the U</w:t>
      </w:r>
      <w:r w:rsidR="007A196E">
        <w:t xml:space="preserve">nited States’ </w:t>
      </w:r>
      <w:r w:rsidRPr="002279AE">
        <w:t>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rsidR="00DE3E00">
        <w:t xml:space="preserve">nited States </w:t>
      </w:r>
      <w:r w:rsidRPr="002279AE">
        <w:t xml:space="preserve">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14:paraId="7A20D261" w14:textId="77777777" w:rsidR="00E12D32" w:rsidRPr="002279AE" w:rsidRDefault="00E12D32" w:rsidP="00F52825">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14:paraId="5833C654" w14:textId="77777777" w:rsidR="00E12D32" w:rsidRDefault="00E12D32" w:rsidP="00F52825">
      <w:pPr>
        <w:pStyle w:val="Subhead2sl"/>
        <w:spacing w:line="276" w:lineRule="auto"/>
      </w:pPr>
      <w:r w:rsidRPr="006755F1">
        <w:t>Facts</w:t>
      </w:r>
    </w:p>
    <w:p w14:paraId="554C5E5B" w14:textId="1F18DF5C" w:rsidR="00E12D32" w:rsidRPr="002279AE" w:rsidRDefault="00E12D32" w:rsidP="00F52825">
      <w:pPr>
        <w:pStyle w:val="Basiccopysl"/>
      </w:pPr>
      <w:r w:rsidRPr="002279AE">
        <w:t>Daniel Ellsberg, a former military analyst, was disillusioned with the U</w:t>
      </w:r>
      <w:r w:rsidR="007522FE">
        <w:t xml:space="preserve">nites </w:t>
      </w:r>
      <w:r w:rsidRPr="002279AE">
        <w:t>S</w:t>
      </w:r>
      <w:r w:rsidR="007522FE">
        <w:t>tates’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rsidR="007522FE">
        <w:t>t</w:t>
      </w:r>
      <w:r w:rsidRPr="004722A9">
        <w:t>he</w:t>
      </w:r>
      <w:r w:rsidRPr="00144A75">
        <w:rPr>
          <w:i/>
          <w:iCs/>
        </w:rPr>
        <w:t xml:space="preserve"> New York Times</w:t>
      </w:r>
      <w:r w:rsidRPr="002279AE">
        <w:t xml:space="preserve"> and </w:t>
      </w:r>
      <w:r w:rsidR="007522FE">
        <w:t>t</w:t>
      </w:r>
      <w:r w:rsidRPr="007522FE">
        <w:t>he</w:t>
      </w:r>
      <w:r w:rsidRPr="00144A75">
        <w:rPr>
          <w:i/>
          <w:iCs/>
        </w:rPr>
        <w:t xml:space="preserve"> Washington Post</w:t>
      </w:r>
      <w:r w:rsidRPr="002279AE">
        <w:t>. These documents contained intimate details about the decision-making plans behind the U</w:t>
      </w:r>
      <w:r w:rsidR="007522FE">
        <w:t xml:space="preserve">nited </w:t>
      </w:r>
      <w:r w:rsidRPr="002279AE">
        <w:t>S</w:t>
      </w:r>
      <w:r w:rsidR="007522FE">
        <w:t xml:space="preserve">tates’ </w:t>
      </w:r>
      <w:r w:rsidRPr="002279AE">
        <w:t xml:space="preserve">intervention in the Vietnam conflict, as well as details that revealed contradictions between President Lyndon Johnson’s motivations in Southeast Asia and his public remarks. </w:t>
      </w:r>
    </w:p>
    <w:p w14:paraId="6DCC9ABA" w14:textId="183D7C87" w:rsidR="00E12D32" w:rsidRPr="002279AE" w:rsidRDefault="00E12D32" w:rsidP="00F52825">
      <w:pPr>
        <w:pStyle w:val="Basiccopysl"/>
      </w:pPr>
      <w:r w:rsidRPr="002279AE">
        <w:t xml:space="preserve">Neil Sheehan, the </w:t>
      </w:r>
      <w:r w:rsidRPr="00144A75">
        <w:rPr>
          <w:i/>
          <w:iCs/>
        </w:rPr>
        <w:t>New York Times</w:t>
      </w:r>
      <w:r w:rsidRPr="002279AE">
        <w:t xml:space="preserve"> reporter who received the lead from Ellsberg, knew he had the story of the year, but the paper ran the risk of violating the Espionage Act if </w:t>
      </w:r>
      <w:r w:rsidR="007522FE">
        <w:t xml:space="preserve">it </w:t>
      </w:r>
      <w:r w:rsidRPr="002279AE">
        <w:t xml:space="preserve">published the papers. After printing two stories about the Pentagon Papers, President Nixon directed his attorney general to order the </w:t>
      </w:r>
      <w:r w:rsidRPr="00144A75">
        <w:rPr>
          <w:i/>
          <w:iCs/>
        </w:rPr>
        <w:t>Times</w:t>
      </w:r>
      <w:r w:rsidRPr="002279AE">
        <w:t xml:space="preserve"> to stop, claiming the publications would cause “irreparable injury to the defense interests of the United States.” The </w:t>
      </w:r>
      <w:r w:rsidRPr="00144A75">
        <w:rPr>
          <w:i/>
          <w:iCs/>
        </w:rPr>
        <w:t>Times</w:t>
      </w:r>
      <w:r w:rsidRPr="002279AE">
        <w:t xml:space="preserve"> refused and the U</w:t>
      </w:r>
      <w:r>
        <w:t>.</w:t>
      </w:r>
      <w:r w:rsidRPr="002279AE">
        <w:t>S</w:t>
      </w:r>
      <w:r>
        <w:t>.</w:t>
      </w:r>
      <w:r w:rsidRPr="002279AE">
        <w:t xml:space="preserve"> government sued the newspaper for violating the Espionage Act.</w:t>
      </w:r>
    </w:p>
    <w:p w14:paraId="5D58D152" w14:textId="77777777" w:rsidR="00E12D32" w:rsidRPr="002279AE" w:rsidRDefault="00E12D32" w:rsidP="00F52825">
      <w:pPr>
        <w:pStyle w:val="Basiccopysl"/>
      </w:pPr>
      <w:r w:rsidRPr="002279AE">
        <w:lastRenderedPageBreak/>
        <w:t xml:space="preserve">A federal judge issued a restraining order to stop further publication until trial. However, during that time, the </w:t>
      </w:r>
      <w:r w:rsidRPr="00144A75">
        <w:rPr>
          <w:i/>
          <w:iCs/>
        </w:rPr>
        <w:t>Washington Post</w:t>
      </w:r>
      <w:r w:rsidRPr="002279AE">
        <w:t xml:space="preserve"> also printed portions of Ellsberg’s papers. The government asked a federal court to stop the </w:t>
      </w:r>
      <w:r w:rsidRPr="00144A75">
        <w:rPr>
          <w:i/>
          <w:iCs/>
        </w:rPr>
        <w:t>Post</w:t>
      </w:r>
      <w:r w:rsidRPr="002279AE">
        <w:t xml:space="preserve"> from publishing future stories about the papers, citing again the Espionage Act. Both newspapers argued that the First Amendment protected their right to publish. Two different federal courts heard the </w:t>
      </w:r>
      <w:r w:rsidRPr="00144A75">
        <w:rPr>
          <w:i/>
          <w:iCs/>
        </w:rPr>
        <w:t>Times</w:t>
      </w:r>
      <w:r w:rsidRPr="002279AE">
        <w:t xml:space="preserve"> and </w:t>
      </w:r>
      <w:r w:rsidRPr="00144A75">
        <w:rPr>
          <w:i/>
          <w:iCs/>
        </w:rPr>
        <w:t>Post</w:t>
      </w:r>
      <w:r w:rsidRPr="002279AE">
        <w:t xml:space="preserve"> cases. Both newspapers won at the trial court, and the government appealed. The Court of Appeals for the D.C. Circuit ruled for the </w:t>
      </w:r>
      <w:r w:rsidRPr="00144A75">
        <w:rPr>
          <w:i/>
          <w:iCs/>
        </w:rPr>
        <w:t>Washington Post</w:t>
      </w:r>
      <w:r w:rsidRPr="002279AE">
        <w:t xml:space="preserve">, while the Court of Appeals for the Second Circuit ruled for the government (against the </w:t>
      </w:r>
      <w:r w:rsidRPr="00144A75">
        <w:rPr>
          <w:i/>
          <w:iCs/>
        </w:rPr>
        <w:t>New York Times</w:t>
      </w:r>
      <w:r w:rsidRPr="002279AE">
        <w:t>). The U.S. Supreme Court agreed to hear both cases, combining them and holding oral argument just one day after the justices agreed to take the cases.</w:t>
      </w:r>
    </w:p>
    <w:p w14:paraId="33632B74" w14:textId="77777777" w:rsidR="00E12D32" w:rsidRPr="002279AE" w:rsidRDefault="00E12D32" w:rsidP="00F52825">
      <w:pPr>
        <w:pStyle w:val="Subhead2sl"/>
        <w:spacing w:line="276" w:lineRule="auto"/>
      </w:pPr>
      <w:r w:rsidRPr="002279AE">
        <w:t>Issue</w:t>
      </w:r>
    </w:p>
    <w:p w14:paraId="7E86D3DC" w14:textId="77777777" w:rsidR="00E12D32" w:rsidRDefault="00E12D32" w:rsidP="00F52825">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14:paraId="157A8D25" w14:textId="77777777" w:rsidR="00E12D32" w:rsidRPr="002279AE" w:rsidRDefault="00E12D32" w:rsidP="00F52825">
      <w:pPr>
        <w:pStyle w:val="Subhead2sl"/>
        <w:spacing w:line="276" w:lineRule="auto"/>
      </w:pPr>
      <w:r w:rsidRPr="002279AE">
        <w:t xml:space="preserve">Constitutional Amendments and </w:t>
      </w:r>
      <w:r>
        <w:t xml:space="preserve">Supreme Court </w:t>
      </w:r>
      <w:r w:rsidRPr="002279AE">
        <w:t xml:space="preserve">Precedents </w:t>
      </w:r>
    </w:p>
    <w:p w14:paraId="19857F6A" w14:textId="77777777" w:rsidR="00E12D32" w:rsidRPr="002279AE" w:rsidRDefault="00E12D32" w:rsidP="00F52825">
      <w:pPr>
        <w:pStyle w:val="Bulletsl"/>
        <w:spacing w:before="240" w:line="276" w:lineRule="auto"/>
        <w:rPr>
          <w:b/>
        </w:rPr>
      </w:pPr>
      <w:r>
        <w:rPr>
          <w:b/>
        </w:rPr>
        <w:t xml:space="preserve">First Amendment to the </w:t>
      </w:r>
      <w:r w:rsidRPr="002279AE">
        <w:rPr>
          <w:b/>
        </w:rPr>
        <w:t>U.S. Constitution</w:t>
      </w:r>
    </w:p>
    <w:p w14:paraId="3175B71D" w14:textId="77777777" w:rsidR="00E12D32" w:rsidRDefault="00E12D32" w:rsidP="00F52825">
      <w:pPr>
        <w:pStyle w:val="Bulletsl"/>
        <w:numPr>
          <w:ilvl w:val="0"/>
          <w:numId w:val="0"/>
        </w:numPr>
        <w:spacing w:line="276" w:lineRule="auto"/>
        <w:ind w:left="720"/>
        <w:rPr>
          <w:b/>
        </w:rPr>
      </w:pPr>
      <w:r w:rsidRPr="00EF1282">
        <w:t>“Congress shall make no law…abridging the freedom of speech, or of the press”</w:t>
      </w:r>
    </w:p>
    <w:p w14:paraId="0BFE9075" w14:textId="77777777" w:rsidR="00E12D32" w:rsidRPr="000E3154" w:rsidRDefault="00E12D32" w:rsidP="00F52825">
      <w:pPr>
        <w:pStyle w:val="Bulletsl"/>
        <w:spacing w:before="240" w:line="276" w:lineRule="auto"/>
        <w:rPr>
          <w:bCs/>
        </w:rPr>
      </w:pPr>
      <w:r w:rsidRPr="000E3154">
        <w:rPr>
          <w:bCs/>
          <w:i/>
        </w:rPr>
        <w:t>Near v. Minnesota</w:t>
      </w:r>
      <w:r w:rsidRPr="000E3154">
        <w:rPr>
          <w:bCs/>
        </w:rPr>
        <w:t xml:space="preserve"> (1931)</w:t>
      </w:r>
    </w:p>
    <w:p w14:paraId="3FF87F78" w14:textId="1DDB3F5B" w:rsidR="00E12D32" w:rsidRDefault="00E12D32" w:rsidP="00F52825">
      <w:pPr>
        <w:pStyle w:val="Bulletsl"/>
        <w:numPr>
          <w:ilvl w:val="0"/>
          <w:numId w:val="0"/>
        </w:numPr>
        <w:spacing w:line="276" w:lineRule="auto"/>
        <w:ind w:left="720"/>
      </w:pPr>
      <w:r>
        <w:t xml:space="preserve">J.M. Near published </w:t>
      </w:r>
      <w:r w:rsidR="007522FE">
        <w:t>t</w:t>
      </w:r>
      <w:r w:rsidRPr="002279AE">
        <w:t xml:space="preserve">he </w:t>
      </w:r>
      <w:r w:rsidRPr="00144A75">
        <w:rPr>
          <w:i/>
          <w:iCs/>
        </w:rPr>
        <w:t>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w:t>
      </w:r>
      <w:r w:rsidR="007522FE">
        <w:t>-</w:t>
      </w:r>
      <w:r>
        <w:t>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144A75">
        <w:rPr>
          <w:vertAlign w:val="superscript"/>
        </w:rPr>
        <w:t>th</w:t>
      </w:r>
      <w:r>
        <w:t xml:space="preserve"> Amendment, and emphasized that prior restraint (preventing the publication of something in advance) is almost always unconstitutional. </w:t>
      </w:r>
    </w:p>
    <w:p w14:paraId="3B3EE374" w14:textId="77777777" w:rsidR="00E12D32" w:rsidRPr="000E3154" w:rsidRDefault="00E12D32" w:rsidP="00F52825">
      <w:pPr>
        <w:pStyle w:val="Bulletsl"/>
        <w:spacing w:before="240" w:line="276" w:lineRule="auto"/>
        <w:rPr>
          <w:bCs/>
          <w:i/>
        </w:rPr>
      </w:pPr>
      <w:r w:rsidRPr="000E3154">
        <w:rPr>
          <w:bCs/>
          <w:i/>
        </w:rPr>
        <w:t xml:space="preserve">Dennis v. United States </w:t>
      </w:r>
      <w:r w:rsidRPr="000E3154">
        <w:rPr>
          <w:bCs/>
        </w:rPr>
        <w:t>(1951)</w:t>
      </w:r>
    </w:p>
    <w:p w14:paraId="76A8B034" w14:textId="77777777" w:rsidR="00E12D32" w:rsidRPr="002279AE" w:rsidRDefault="00E12D32" w:rsidP="00F52825">
      <w:pPr>
        <w:pStyle w:val="Bulletsl"/>
        <w:numPr>
          <w:ilvl w:val="0"/>
          <w:numId w:val="0"/>
        </w:numPr>
        <w:spacing w:line="276" w:lineRule="auto"/>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14:paraId="407CBDA4" w14:textId="7F1A35C9" w:rsidR="00E12D32" w:rsidRPr="002279AE" w:rsidRDefault="00E12D32" w:rsidP="00144A75">
      <w:pPr>
        <w:pStyle w:val="Subhead2sl"/>
        <w:keepNext/>
        <w:spacing w:line="276" w:lineRule="auto"/>
      </w:pPr>
      <w:r w:rsidRPr="002279AE">
        <w:lastRenderedPageBreak/>
        <w:t xml:space="preserve">Arguments for </w:t>
      </w:r>
      <w:r w:rsidR="004722A9">
        <w:t xml:space="preserve">the </w:t>
      </w:r>
      <w:r w:rsidRPr="00144A75">
        <w:rPr>
          <w:i w:val="0"/>
          <w:iCs/>
        </w:rPr>
        <w:t xml:space="preserve">New York Times </w:t>
      </w:r>
      <w:r>
        <w:t>(petitioner)</w:t>
      </w:r>
    </w:p>
    <w:p w14:paraId="0C841512" w14:textId="2B8E54E9" w:rsidR="00E12D32" w:rsidRPr="00740460" w:rsidRDefault="00E12D32" w:rsidP="00F52825">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14:paraId="42291ADF" w14:textId="77777777" w:rsidR="00E12D32" w:rsidRPr="00740460" w:rsidRDefault="00E12D32" w:rsidP="00F52825">
      <w:pPr>
        <w:pStyle w:val="Bulletsl"/>
        <w:spacing w:line="276" w:lineRule="auto"/>
        <w:rPr>
          <w:rFonts w:cs="Times New Roman"/>
        </w:rPr>
      </w:pPr>
      <w:r>
        <w:rPr>
          <w:shd w:val="clear" w:color="auto" w:fill="FFFFFF"/>
        </w:rPr>
        <w:t xml:space="preserve">Congress has not made laws that abridge the freedom of the press in the name of national security and presidential power. The courts should not take it upon themselves to make law that would do so simply because the executive branch requests it. </w:t>
      </w:r>
    </w:p>
    <w:p w14:paraId="3DF8B3DB" w14:textId="01A6B924" w:rsidR="00E12D32" w:rsidRPr="00740460" w:rsidRDefault="00E12D32" w:rsidP="00F52825">
      <w:pPr>
        <w:pStyle w:val="Bulletsl"/>
        <w:spacing w:line="276" w:lineRule="auto"/>
        <w:rPr>
          <w:rFonts w:cs="Times New Roman"/>
        </w:rPr>
      </w:pPr>
      <w:r>
        <w:rPr>
          <w:shd w:val="clear" w:color="auto" w:fill="FFFFFF"/>
        </w:rPr>
        <w:t>The newspaper did not publish the information in order to hurt the U</w:t>
      </w:r>
      <w:r w:rsidR="004722A9">
        <w:rPr>
          <w:shd w:val="clear" w:color="auto" w:fill="FFFFFF"/>
        </w:rPr>
        <w:t>nited States</w:t>
      </w:r>
      <w:r>
        <w:rPr>
          <w:shd w:val="clear" w:color="auto" w:fill="FFFFFF"/>
        </w:rPr>
        <w:t xml:space="preserve">. Instead, it published the information to help the country by informing citizens about their government’s actions on an important public issue. </w:t>
      </w:r>
    </w:p>
    <w:p w14:paraId="0918A00B" w14:textId="29EC5CDB" w:rsidR="00E12D32" w:rsidRPr="00740460" w:rsidRDefault="00E12D32" w:rsidP="00F52825">
      <w:pPr>
        <w:pStyle w:val="Bulletsl"/>
        <w:spacing w:line="276" w:lineRule="auto"/>
        <w:rPr>
          <w:shd w:val="clear" w:color="auto" w:fill="FFFFFF"/>
        </w:rPr>
      </w:pPr>
      <w:r w:rsidRPr="00740460">
        <w:rPr>
          <w:shd w:val="clear" w:color="auto" w:fill="FFFFFF"/>
        </w:rPr>
        <w:t>Secrecy in government is fundamentally anti-democratic</w:t>
      </w:r>
      <w:r w:rsidR="004722A9">
        <w:rPr>
          <w:shd w:val="clear" w:color="auto" w:fill="FFFFFF"/>
        </w:rPr>
        <w:t xml:space="preserve"> and </w:t>
      </w:r>
      <w:r w:rsidRPr="00740460">
        <w:rPr>
          <w:shd w:val="clear" w:color="auto" w:fill="FFFFFF"/>
        </w:rPr>
        <w:t>perpetuat</w:t>
      </w:r>
      <w:r w:rsidR="004722A9">
        <w:rPr>
          <w:shd w:val="clear" w:color="auto" w:fill="FFFFFF"/>
        </w:rPr>
        <w:t xml:space="preserve">es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national health. </w:t>
      </w:r>
      <w:r>
        <w:rPr>
          <w:shd w:val="clear" w:color="auto" w:fill="FFFFFF"/>
        </w:rPr>
        <w:t xml:space="preserve">Publishing materials that reveal misjudgments, miscalculations, or mistakes made by government officials is exactly why </w:t>
      </w:r>
      <w:r w:rsidR="004722A9">
        <w:rPr>
          <w:shd w:val="clear" w:color="auto" w:fill="FFFFFF"/>
        </w:rPr>
        <w:t xml:space="preserve">it is important to have a </w:t>
      </w:r>
      <w:r>
        <w:rPr>
          <w:shd w:val="clear" w:color="auto" w:fill="FFFFFF"/>
        </w:rPr>
        <w:t xml:space="preserve">free press </w:t>
      </w:r>
      <w:r w:rsidR="004722A9">
        <w:rPr>
          <w:shd w:val="clear" w:color="auto" w:fill="FFFFFF"/>
        </w:rPr>
        <w:t xml:space="preserve">with </w:t>
      </w:r>
      <w:r>
        <w:rPr>
          <w:shd w:val="clear" w:color="auto" w:fill="FFFFFF"/>
        </w:rPr>
        <w:t xml:space="preserve">unrestrained publishing authority. </w:t>
      </w:r>
    </w:p>
    <w:p w14:paraId="10C0846A" w14:textId="5016FB6B" w:rsidR="00E12D32" w:rsidRPr="002279AE" w:rsidRDefault="00E12D32" w:rsidP="00F52825">
      <w:pPr>
        <w:pStyle w:val="Subhead2sl"/>
        <w:spacing w:line="276" w:lineRule="auto"/>
      </w:pPr>
      <w:r w:rsidRPr="002279AE">
        <w:t xml:space="preserve">Arguments for </w:t>
      </w:r>
      <w:r>
        <w:t xml:space="preserve">the </w:t>
      </w:r>
      <w:r w:rsidRPr="002279AE">
        <w:t>U</w:t>
      </w:r>
      <w:r w:rsidR="004722A9">
        <w:t>nited States</w:t>
      </w:r>
      <w:r w:rsidRPr="002279AE">
        <w:t xml:space="preserve"> (respondent)</w:t>
      </w:r>
    </w:p>
    <w:p w14:paraId="44A495BF" w14:textId="77777777" w:rsidR="00E12D32" w:rsidRPr="00300794" w:rsidRDefault="00E12D32" w:rsidP="00F52825">
      <w:pPr>
        <w:pStyle w:val="Bulletsl"/>
        <w:spacing w:line="276" w:lineRule="auto"/>
      </w:pPr>
      <w:r>
        <w:t xml:space="preserve">During times of war, the executive branch must be given broad authority to restrict publication of sensitive information that could harm U.S. national security. </w:t>
      </w:r>
    </w:p>
    <w:p w14:paraId="7911A5E9" w14:textId="70BC8EEC" w:rsidR="00E12D32" w:rsidRPr="000A150F" w:rsidRDefault="00E12D32" w:rsidP="00F52825">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w:t>
      </w:r>
      <w:r w:rsidR="004722A9">
        <w:rPr>
          <w:rFonts w:cs="Arial"/>
          <w:color w:val="000000"/>
          <w:shd w:val="clear" w:color="auto" w:fill="FFFFFF"/>
        </w:rPr>
        <w:t xml:space="preserve">The U.S. </w:t>
      </w:r>
      <w:r>
        <w:rPr>
          <w:rFonts w:cs="Arial"/>
          <w:color w:val="000000"/>
          <w:shd w:val="clear" w:color="auto" w:fill="FFFFFF"/>
        </w:rPr>
        <w:t xml:space="preserve">system of government rests on the </w:t>
      </w:r>
      <w:r w:rsidRPr="00783A2A">
        <w:rPr>
          <w:rFonts w:cs="Arial"/>
          <w:color w:val="000000"/>
          <w:shd w:val="clear" w:color="auto" w:fill="FFFFFF"/>
        </w:rPr>
        <w:t>concept of separation of powers</w:t>
      </w:r>
      <w:r>
        <w:rPr>
          <w:rFonts w:cs="Arial"/>
          <w:color w:val="000000"/>
          <w:shd w:val="clear" w:color="auto" w:fill="FFFFFF"/>
        </w:rPr>
        <w:t>, and the Constitution assigns decisions about foreign affairs</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14:paraId="3516E091" w14:textId="77777777" w:rsidR="00E12D32" w:rsidRPr="00783A2A" w:rsidRDefault="00E12D32" w:rsidP="00F52825">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14:paraId="49B1FD82" w14:textId="710191AC" w:rsidR="00E12D32" w:rsidRPr="00783A2A" w:rsidRDefault="00E12D32" w:rsidP="00F52825">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xml:space="preserve">. This duty applies to everyone equally—from regular citizens to high officials and certainly also to </w:t>
      </w:r>
      <w:r w:rsidR="004722A9">
        <w:rPr>
          <w:rFonts w:cs="Arial"/>
          <w:color w:val="000000"/>
        </w:rPr>
        <w:t>t</w:t>
      </w:r>
      <w:r w:rsidR="004722A9" w:rsidRPr="00783A2A">
        <w:rPr>
          <w:rFonts w:cs="Arial"/>
          <w:color w:val="000000"/>
        </w:rPr>
        <w:t xml:space="preserve">he </w:t>
      </w:r>
      <w:r w:rsidRPr="00144A75">
        <w:rPr>
          <w:rFonts w:cs="Arial"/>
          <w:i/>
          <w:iCs/>
          <w:color w:val="000000"/>
        </w:rPr>
        <w:t>New York Times</w:t>
      </w:r>
      <w:r>
        <w:rPr>
          <w:rFonts w:cs="Arial"/>
          <w:color w:val="000000"/>
        </w:rPr>
        <w:t xml:space="preserve"> and </w:t>
      </w:r>
      <w:r w:rsidR="004722A9">
        <w:rPr>
          <w:rFonts w:cs="Arial"/>
          <w:color w:val="000000"/>
        </w:rPr>
        <w:t xml:space="preserve">the </w:t>
      </w:r>
      <w:r w:rsidRPr="00144A75">
        <w:rPr>
          <w:rFonts w:cs="Arial"/>
          <w:i/>
          <w:iCs/>
          <w:color w:val="000000"/>
        </w:rPr>
        <w:t>Washington Post</w:t>
      </w:r>
      <w:r>
        <w:rPr>
          <w:rFonts w:cs="Arial"/>
          <w:color w:val="000000"/>
        </w:rPr>
        <w:t>.</w:t>
      </w:r>
    </w:p>
    <w:p w14:paraId="4C572E1B" w14:textId="77777777" w:rsidR="00E12D32" w:rsidRPr="002279AE" w:rsidRDefault="00E12D32" w:rsidP="00144A75">
      <w:pPr>
        <w:pStyle w:val="Subhead2sl"/>
        <w:keepNext/>
        <w:spacing w:line="276" w:lineRule="auto"/>
        <w:rPr>
          <w:rStyle w:val="Subhead2slChar"/>
          <w:b/>
          <w:i/>
        </w:rPr>
      </w:pPr>
      <w:r w:rsidRPr="002279AE">
        <w:rPr>
          <w:rStyle w:val="Subhead2slChar"/>
          <w:b/>
          <w:i/>
        </w:rPr>
        <w:lastRenderedPageBreak/>
        <w:t>Decision</w:t>
      </w:r>
    </w:p>
    <w:p w14:paraId="47909F65" w14:textId="7F0740D0" w:rsidR="00E12D32" w:rsidRPr="002279AE" w:rsidRDefault="00E12D32" w:rsidP="00F52825">
      <w:pPr>
        <w:pStyle w:val="Basiccopysl"/>
      </w:pPr>
      <w:r w:rsidRPr="002279AE">
        <w:rPr>
          <w:rStyle w:val="Subhead2slChar"/>
          <w:rFonts w:ascii="Garamond" w:hAnsi="Garamond"/>
          <w:b w:val="0"/>
          <w:i w:val="0"/>
        </w:rPr>
        <w:t>Only four days after hearing oral arguments, the Supreme Court ruled, 6</w:t>
      </w:r>
      <w:r w:rsidR="0076613D">
        <w:rPr>
          <w:rStyle w:val="Subhead2slChar"/>
          <w:rFonts w:ascii="Garamond" w:hAnsi="Garamond"/>
          <w:b w:val="0"/>
          <w:i w:val="0"/>
        </w:rPr>
        <w:t>-</w:t>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a </w:t>
      </w:r>
      <w:r w:rsidRPr="00D77631">
        <w:rPr>
          <w:rStyle w:val="Subhead2slChar"/>
          <w:rFonts w:ascii="Garamond" w:hAnsi="Garamond"/>
          <w:b w:val="0"/>
        </w:rPr>
        <w:t>per curiam</w:t>
      </w:r>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14:paraId="123FBA83" w14:textId="77777777" w:rsidR="00E12D32" w:rsidRPr="000E3154" w:rsidRDefault="00E12D32" w:rsidP="00F52825">
      <w:pPr>
        <w:pStyle w:val="Subhead3sl"/>
        <w:rPr>
          <w:iCs/>
        </w:rPr>
      </w:pPr>
      <w:r w:rsidRPr="000E3154">
        <w:rPr>
          <w:iCs/>
        </w:rPr>
        <w:t>Per Curiam</w:t>
      </w:r>
    </w:p>
    <w:p w14:paraId="31E2FEBE" w14:textId="77777777" w:rsidR="00E12D32" w:rsidRDefault="00E12D32" w:rsidP="00F52825">
      <w:pPr>
        <w:pStyle w:val="Basiccopysl"/>
        <w:rPr>
          <w:b/>
        </w:rPr>
      </w:pPr>
      <w:r>
        <w:t>The Court reaffirmed its longstanding rule that “[a]ny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curiam </w:t>
      </w:r>
      <w:r>
        <w:t>opinion concluded, without analysis, that that “the Government had not met that burden” in these cases.</w:t>
      </w:r>
      <w:r>
        <w:rPr>
          <w:b/>
        </w:rPr>
        <w:t xml:space="preserve"> </w:t>
      </w:r>
    </w:p>
    <w:p w14:paraId="6C539FFA" w14:textId="77777777" w:rsidR="00E12D32" w:rsidRPr="002279AE" w:rsidRDefault="00E12D32" w:rsidP="00F52825">
      <w:pPr>
        <w:pStyle w:val="Subhead3sl"/>
      </w:pPr>
      <w:r w:rsidRPr="002279AE">
        <w:t>Concurrences</w:t>
      </w:r>
    </w:p>
    <w:p w14:paraId="5F2D3BAB" w14:textId="544E71D6" w:rsidR="00E12D32" w:rsidRDefault="00E12D32" w:rsidP="00F52825">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14:paraId="65570714" w14:textId="77777777" w:rsidR="00E12D32" w:rsidRDefault="00E12D32" w:rsidP="00F52825">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14:paraId="56B7830D" w14:textId="6071FC7A" w:rsidR="00E12D32" w:rsidRDefault="00E12D32" w:rsidP="00F52825">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14:paraId="592B5C11" w14:textId="77777777" w:rsidR="00E12D32" w:rsidRDefault="00E12D32" w:rsidP="00F52825">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 xml:space="preserve">Because “I cannot say that the disclosure of any of [the documents] will surely result in </w:t>
      </w:r>
      <w:r>
        <w:lastRenderedPageBreak/>
        <w:t>direct, immediate, and irreparable damage to our Nation or its people,” prohibiting publication would violate the First Amendment.</w:t>
      </w:r>
      <w:r>
        <w:rPr>
          <w:b/>
        </w:rPr>
        <w:t xml:space="preserve"> </w:t>
      </w:r>
    </w:p>
    <w:p w14:paraId="6F77E9EA" w14:textId="77777777" w:rsidR="00E12D32" w:rsidRDefault="00E12D32" w:rsidP="00F52825">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14:paraId="6655ABDE" w14:textId="77777777" w:rsidR="00E12D32" w:rsidRDefault="00E12D32" w:rsidP="00F52825">
      <w:pPr>
        <w:pStyle w:val="Basiccopysl"/>
      </w:pPr>
      <w:r>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14:paraId="7FAF5935" w14:textId="77777777" w:rsidR="00E12D32" w:rsidRPr="00EF1282" w:rsidRDefault="00E12D32" w:rsidP="00F52825">
      <w:pPr>
        <w:pStyle w:val="Subhead3sl"/>
      </w:pPr>
      <w:r w:rsidRPr="00EF1282">
        <w:t>Dissent</w:t>
      </w:r>
      <w:r w:rsidRPr="00AA6373">
        <w:t>s</w:t>
      </w:r>
    </w:p>
    <w:p w14:paraId="04FE463C" w14:textId="1A195D53" w:rsidR="00E12D32" w:rsidRDefault="00E12D32" w:rsidP="00F52825">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w:t>
      </w:r>
      <w:r w:rsidR="00462097">
        <w:t>cases and</w:t>
      </w:r>
      <w:r>
        <w:t xml:space="preserve"> characterized the Court’s rushed decision as “a parody of the legal process.” </w:t>
      </w:r>
    </w:p>
    <w:p w14:paraId="29D92891" w14:textId="77777777" w:rsidR="00E12D32" w:rsidRDefault="00E12D32" w:rsidP="00F52825">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14:paraId="0AF60212" w14:textId="25F128EA" w:rsidR="00E12D32" w:rsidRDefault="00E12D32" w:rsidP="00F52825">
      <w:pPr>
        <w:pStyle w:val="Basiccopysl"/>
        <w:rPr>
          <w:rFonts w:cs="Arial"/>
          <w:color w:val="000000"/>
          <w:shd w:val="clear" w:color="auto" w:fill="FFFFFF"/>
        </w:rPr>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14:paraId="2FBB576D" w14:textId="0070F6C3" w:rsidR="00F2350E" w:rsidRDefault="00F2350E" w:rsidP="00462097">
      <w:pPr>
        <w:pStyle w:val="Subhead2sl"/>
        <w:keepNext/>
        <w:rPr>
          <w:shd w:val="clear" w:color="auto" w:fill="FFFFFF"/>
        </w:rPr>
      </w:pPr>
      <w:r>
        <w:rPr>
          <w:shd w:val="clear" w:color="auto" w:fill="FFFFFF"/>
        </w:rPr>
        <w:lastRenderedPageBreak/>
        <w:t>Impact</w:t>
      </w:r>
    </w:p>
    <w:p w14:paraId="49C6D9D0" w14:textId="4998215B" w:rsidR="00F2350E" w:rsidRPr="00F2350E" w:rsidRDefault="00F2350E" w:rsidP="00F2350E">
      <w:pPr>
        <w:pStyle w:val="Basiccopysl"/>
        <w:rPr>
          <w:rFonts w:cs="Arial"/>
          <w:color w:val="000000"/>
          <w:shd w:val="clear" w:color="auto" w:fill="FFFFFF"/>
        </w:rPr>
      </w:pPr>
      <w:r w:rsidRPr="00F2350E">
        <w:rPr>
          <w:rFonts w:cs="Arial"/>
          <w:color w:val="000000"/>
          <w:shd w:val="clear" w:color="auto" w:fill="FFFFFF"/>
        </w:rPr>
        <w:t>The Supreme Court’s decision in this case lifted the restraining order and allowed</w:t>
      </w:r>
      <w:r w:rsidRPr="00462097">
        <w:rPr>
          <w:rFonts w:cs="Arial"/>
          <w:color w:val="000000"/>
          <w:shd w:val="clear" w:color="auto" w:fill="FFFFFF"/>
        </w:rPr>
        <w:t xml:space="preserve"> </w:t>
      </w:r>
      <w:r w:rsidR="00462097">
        <w:rPr>
          <w:rFonts w:cs="Arial"/>
          <w:color w:val="000000"/>
          <w:shd w:val="clear" w:color="auto" w:fill="FFFFFF"/>
        </w:rPr>
        <w:t>t</w:t>
      </w:r>
      <w:r w:rsidRPr="00462097">
        <w:rPr>
          <w:rFonts w:cs="Arial"/>
          <w:color w:val="000000"/>
          <w:shd w:val="clear" w:color="auto" w:fill="FFFFFF"/>
        </w:rPr>
        <w:t>he</w:t>
      </w:r>
      <w:r w:rsidRPr="00F2350E">
        <w:rPr>
          <w:rFonts w:cs="Arial"/>
          <w:i/>
          <w:iCs/>
          <w:color w:val="000000"/>
          <w:shd w:val="clear" w:color="auto" w:fill="FFFFFF"/>
        </w:rPr>
        <w:t xml:space="preserve"> New York</w:t>
      </w:r>
      <w:r w:rsidRPr="00F2350E">
        <w:rPr>
          <w:rFonts w:cs="Arial"/>
          <w:color w:val="000000"/>
          <w:shd w:val="clear" w:color="auto" w:fill="FFFFFF"/>
        </w:rPr>
        <w:t xml:space="preserve"> Times and </w:t>
      </w:r>
      <w:r w:rsidR="00462097">
        <w:rPr>
          <w:rFonts w:cs="Arial"/>
          <w:color w:val="000000"/>
          <w:shd w:val="clear" w:color="auto" w:fill="FFFFFF"/>
        </w:rPr>
        <w:t>t</w:t>
      </w:r>
      <w:r w:rsidRPr="00462097">
        <w:rPr>
          <w:rFonts w:cs="Arial"/>
          <w:color w:val="000000"/>
          <w:shd w:val="clear" w:color="auto" w:fill="FFFFFF"/>
        </w:rPr>
        <w:t>he</w:t>
      </w:r>
      <w:r w:rsidRPr="00F2350E">
        <w:rPr>
          <w:rFonts w:cs="Arial"/>
          <w:i/>
          <w:iCs/>
          <w:color w:val="000000"/>
          <w:shd w:val="clear" w:color="auto" w:fill="FFFFFF"/>
        </w:rPr>
        <w:t xml:space="preserve"> Washington Post</w:t>
      </w:r>
      <w:r w:rsidRPr="00F2350E">
        <w:rPr>
          <w:rFonts w:cs="Arial"/>
          <w:color w:val="000000"/>
          <w:shd w:val="clear" w:color="auto" w:fill="FFFFFF"/>
        </w:rPr>
        <w:t xml:space="preserve"> to continue publishing the Pentagon Papers. These documents revealed that the U.S. military was more involved in the wars in Southeast Asia than the public had previously known. Ultimately, only about </w:t>
      </w:r>
      <w:r>
        <w:rPr>
          <w:rFonts w:cs="Arial"/>
          <w:color w:val="000000"/>
          <w:shd w:val="clear" w:color="auto" w:fill="FFFFFF"/>
        </w:rPr>
        <w:t>5%</w:t>
      </w:r>
      <w:r w:rsidRPr="00F2350E">
        <w:rPr>
          <w:rFonts w:cs="Arial"/>
          <w:color w:val="000000"/>
          <w:shd w:val="clear" w:color="auto" w:fill="FFFFFF"/>
        </w:rPr>
        <w:t xml:space="preserve"> of the documents were published in </w:t>
      </w:r>
      <w:r w:rsidR="00462097">
        <w:rPr>
          <w:rFonts w:cs="Arial"/>
          <w:color w:val="000000"/>
          <w:shd w:val="clear" w:color="auto" w:fill="FFFFFF"/>
        </w:rPr>
        <w:t>the</w:t>
      </w:r>
      <w:r w:rsidRPr="00F2350E">
        <w:rPr>
          <w:rFonts w:cs="Arial"/>
          <w:i/>
          <w:iCs/>
          <w:color w:val="000000"/>
          <w:shd w:val="clear" w:color="auto" w:fill="FFFFFF"/>
        </w:rPr>
        <w:t xml:space="preserve"> New York Times.</w:t>
      </w:r>
      <w:r w:rsidRPr="00F2350E">
        <w:rPr>
          <w:rFonts w:cs="Arial"/>
          <w:color w:val="000000"/>
          <w:shd w:val="clear" w:color="auto" w:fill="FFFFFF"/>
        </w:rPr>
        <w:t xml:space="preserve"> The Pentagon Papers were declassified and made fully available to the public in 2011. </w:t>
      </w:r>
    </w:p>
    <w:p w14:paraId="26780438" w14:textId="77777777" w:rsidR="00F2350E" w:rsidRPr="00F2350E" w:rsidRDefault="00F2350E" w:rsidP="00F2350E">
      <w:pPr>
        <w:pStyle w:val="Basiccopysl"/>
        <w:rPr>
          <w:rFonts w:cs="Arial"/>
          <w:color w:val="000000"/>
          <w:shd w:val="clear" w:color="auto" w:fill="FFFFFF"/>
        </w:rPr>
      </w:pPr>
      <w:r w:rsidRPr="00F2350E">
        <w:rPr>
          <w:rFonts w:cs="Arial"/>
          <w:color w:val="000000"/>
          <w:shd w:val="clear" w:color="auto" w:fill="FFFFFF"/>
        </w:rPr>
        <w:t>In 1973, Ellsberg was criminally charged with espionage, conspiracy, and theft for his role in publishing the Pentagon Papers. However, the judge dismissed the case because the government illegally obtained evidence against Ellsberg.</w:t>
      </w:r>
    </w:p>
    <w:p w14:paraId="6217DECD" w14:textId="576BFBDC" w:rsidR="00F2350E" w:rsidRPr="00F2350E" w:rsidRDefault="00F2350E" w:rsidP="00F2350E">
      <w:pPr>
        <w:pStyle w:val="Basiccopysl"/>
        <w:rPr>
          <w:rFonts w:cs="Arial"/>
          <w:color w:val="000000"/>
          <w:shd w:val="clear" w:color="auto" w:fill="FFFFFF"/>
        </w:rPr>
      </w:pPr>
      <w:r w:rsidRPr="00F2350E">
        <w:rPr>
          <w:rFonts w:cs="Arial"/>
          <w:i/>
          <w:iCs/>
          <w:color w:val="000000"/>
          <w:shd w:val="clear" w:color="auto" w:fill="FFFFFF"/>
        </w:rPr>
        <w:t>New York Times Co. v. United States</w:t>
      </w:r>
      <w:r w:rsidRPr="00F2350E">
        <w:rPr>
          <w:rFonts w:cs="Arial"/>
          <w:color w:val="000000"/>
          <w:shd w:val="clear" w:color="auto" w:fill="FFFFFF"/>
        </w:rPr>
        <w:t xml:space="preserve"> is considered a victory for the First Amendment’s protections of the free press against government censorship. The </w:t>
      </w:r>
      <w:r w:rsidRPr="00F2350E">
        <w:rPr>
          <w:rFonts w:cs="Arial"/>
          <w:i/>
          <w:iCs/>
          <w:color w:val="000000"/>
          <w:shd w:val="clear" w:color="auto" w:fill="FFFFFF"/>
        </w:rPr>
        <w:t>per curiam</w:t>
      </w:r>
      <w:r w:rsidRPr="00F2350E">
        <w:rPr>
          <w:rFonts w:cs="Arial"/>
          <w:color w:val="000000"/>
          <w:shd w:val="clear" w:color="auto" w:fill="FFFFFF"/>
        </w:rPr>
        <w:t xml:space="preserve"> opinion shows that there is a “heavy presumption against prior restraint,” meaning that it is very difficult for the government to prevent information from being published, even in situations where national security may be at issue. However, because there was no majority opinion in this case, some argue that the decision did not protect the press enough and that there are remaining ways for the government to impose prior restraints in the future.</w:t>
      </w:r>
    </w:p>
    <w:bookmarkEnd w:id="14"/>
    <w:p w14:paraId="08B73BA2" w14:textId="77777777" w:rsidR="00F2350E" w:rsidRPr="00F2350E" w:rsidRDefault="00F2350E" w:rsidP="00F52825">
      <w:pPr>
        <w:pStyle w:val="Basiccopysl"/>
        <w:rPr>
          <w:rFonts w:cs="Arial"/>
          <w:color w:val="000000"/>
          <w:shd w:val="clear" w:color="auto" w:fill="FFFFFF"/>
        </w:rPr>
      </w:pPr>
    </w:p>
    <w:p w14:paraId="494A19A1" w14:textId="77777777" w:rsidR="00E12D32" w:rsidRDefault="00E12D32" w:rsidP="00F52825">
      <w:pPr>
        <w:pStyle w:val="Heading1"/>
        <w:spacing w:line="276" w:lineRule="auto"/>
        <w:sectPr w:rsidR="00E12D32" w:rsidSect="00F42CDF">
          <w:headerReference w:type="default" r:id="rId46"/>
          <w:footerReference w:type="default" r:id="rId47"/>
          <w:headerReference w:type="first" r:id="rId48"/>
          <w:footerReference w:type="first" r:id="rId49"/>
          <w:footnotePr>
            <w:numFmt w:val="chicago"/>
          </w:footnotePr>
          <w:pgSz w:w="12240" w:h="15840"/>
          <w:pgMar w:top="1440" w:right="1440" w:bottom="1440" w:left="1440" w:header="720" w:footer="720" w:gutter="0"/>
          <w:cols w:space="720"/>
          <w:titlePg/>
          <w:docGrid w:linePitch="360"/>
        </w:sectPr>
      </w:pPr>
    </w:p>
    <w:p w14:paraId="7746C4C4" w14:textId="77777777" w:rsidR="00F52825" w:rsidRPr="00810E29" w:rsidRDefault="00F52825" w:rsidP="00F52825">
      <w:pPr>
        <w:spacing w:after="0" w:line="276" w:lineRule="auto"/>
        <w:rPr>
          <w:sz w:val="12"/>
          <w:szCs w:val="10"/>
        </w:rPr>
      </w:pPr>
    </w:p>
    <w:p w14:paraId="7F703A02" w14:textId="78552BFC" w:rsidR="00E12D32" w:rsidRPr="00497159" w:rsidRDefault="00E12D32" w:rsidP="00CC30C5">
      <w:pPr>
        <w:pStyle w:val="Heading1"/>
      </w:pPr>
      <w:bookmarkStart w:id="15" w:name="_Toc80619879"/>
      <w:r w:rsidRPr="00F52825">
        <w:t>Roe v. Wade</w:t>
      </w:r>
      <w:r w:rsidRPr="00497159">
        <w:t xml:space="preserve"> </w:t>
      </w:r>
      <w:r w:rsidRPr="00CC30C5">
        <w:rPr>
          <w:i w:val="0"/>
          <w:iCs w:val="0"/>
        </w:rPr>
        <w:t>(1973)</w:t>
      </w:r>
      <w:bookmarkEnd w:id="15"/>
    </w:p>
    <w:p w14:paraId="0F6E6D05" w14:textId="77777777" w:rsidR="00E12D32" w:rsidRDefault="00E12D32" w:rsidP="00F52825">
      <w:pPr>
        <w:pStyle w:val="Basiccopysl"/>
        <w:jc w:val="center"/>
        <w:rPr>
          <w:b/>
        </w:rPr>
      </w:pPr>
      <w:r w:rsidRPr="00497159">
        <w:rPr>
          <w:b/>
        </w:rPr>
        <w:t>Argued:</w:t>
      </w:r>
      <w:r>
        <w:t xml:space="preserve"> December 13, 1971</w:t>
      </w:r>
    </w:p>
    <w:p w14:paraId="1A5909E6" w14:textId="77777777" w:rsidR="00E12D32" w:rsidRDefault="00E12D32" w:rsidP="00F52825">
      <w:pPr>
        <w:pStyle w:val="Basiccopysl"/>
        <w:jc w:val="center"/>
      </w:pPr>
      <w:r w:rsidRPr="00497159">
        <w:rPr>
          <w:b/>
        </w:rPr>
        <w:t>Reargued:</w:t>
      </w:r>
      <w:r>
        <w:t xml:space="preserve"> October 11, 1972</w:t>
      </w:r>
    </w:p>
    <w:p w14:paraId="64DD6F0E" w14:textId="77777777" w:rsidR="00E12D32" w:rsidRDefault="00E12D32" w:rsidP="00F52825">
      <w:pPr>
        <w:pStyle w:val="Basiccopysl"/>
        <w:jc w:val="center"/>
        <w:rPr>
          <w:b/>
        </w:rPr>
      </w:pPr>
      <w:r w:rsidRPr="00497159">
        <w:rPr>
          <w:b/>
        </w:rPr>
        <w:t>Decided:</w:t>
      </w:r>
      <w:r>
        <w:t xml:space="preserve"> January 22, 1973</w:t>
      </w:r>
    </w:p>
    <w:p w14:paraId="1DFA5643" w14:textId="77777777" w:rsidR="00E12D32" w:rsidRPr="00497159" w:rsidRDefault="00E12D32" w:rsidP="00F52825">
      <w:pPr>
        <w:pStyle w:val="Subhead2sl"/>
        <w:spacing w:line="276" w:lineRule="auto"/>
      </w:pPr>
      <w:r w:rsidRPr="00497159">
        <w:t>Background</w:t>
      </w:r>
    </w:p>
    <w:p w14:paraId="27CC0A94" w14:textId="496DAC0D" w:rsidR="00E12D32" w:rsidRDefault="00E12D32" w:rsidP="00F52825">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w:t>
      </w:r>
      <w:r w:rsidRPr="009112D2">
        <w:rPr>
          <w:vertAlign w:val="superscript"/>
        </w:rPr>
        <w:t>st</w:t>
      </w:r>
      <w:r>
        <w:t xml:space="preserve"> century, the Court began interpreting the Constitution, including the Due Process Clause of the 14</w:t>
      </w:r>
      <w:r w:rsidRPr="009112D2">
        <w:rPr>
          <w:vertAlign w:val="superscript"/>
        </w:rPr>
        <w:t>th</w:t>
      </w:r>
      <w:r>
        <w:t xml:space="preserve"> Amendment, as providing a broader right to privacy protecting people as well as places. Over the decades the Court interpreted this right to privacy to include decisions about child rearing, marriage, and birth control. This is a case about whether that </w:t>
      </w:r>
      <w:r w:rsidR="007B7E1E">
        <w:t>constitutionally protected</w:t>
      </w:r>
      <w:r>
        <w:t xml:space="preserve"> right to privacy includes the right to obtain an abortion. </w:t>
      </w:r>
    </w:p>
    <w:p w14:paraId="59BE991F" w14:textId="77777777" w:rsidR="00E12D32" w:rsidRDefault="00E12D32" w:rsidP="00F52825">
      <w:pPr>
        <w:pStyle w:val="Basiccopysl"/>
      </w:pPr>
      <w:r w:rsidRPr="00E5000B">
        <w:t xml:space="preserve">In the </w:t>
      </w:r>
      <w:r>
        <w:t>19</w:t>
      </w:r>
      <w:r w:rsidRPr="009112D2">
        <w:rPr>
          <w:vertAlign w:val="superscript"/>
        </w:rPr>
        <w:t>th</w:t>
      </w:r>
      <w:r>
        <w:t xml:space="preserve"> </w:t>
      </w:r>
      <w:r w:rsidRPr="00E5000B">
        <w:t xml:space="preserve">and </w:t>
      </w:r>
      <w:r>
        <w:t>early 20</w:t>
      </w:r>
      <w:r w:rsidRPr="009112D2">
        <w:rPr>
          <w:vertAlign w:val="superscript"/>
        </w:rPr>
        <w:t>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14:paraId="00050D70" w14:textId="77777777" w:rsidR="00E12D32" w:rsidRPr="00EB0390" w:rsidRDefault="00E12D32" w:rsidP="00F52825">
      <w:pPr>
        <w:pStyle w:val="Subhead2sl"/>
        <w:spacing w:line="276" w:lineRule="auto"/>
        <w:rPr>
          <w:rFonts w:eastAsia="Times New Roman" w:cs="Calibri"/>
          <w:color w:val="222222"/>
        </w:rPr>
      </w:pPr>
      <w:r w:rsidRPr="00EB0390">
        <w:t>Facts</w:t>
      </w:r>
    </w:p>
    <w:p w14:paraId="5CE126A0" w14:textId="77777777" w:rsidR="00E12D32" w:rsidRPr="00E5000B" w:rsidRDefault="00E12D32" w:rsidP="00F52825">
      <w:pPr>
        <w:pStyle w:val="Basiccopysl"/>
      </w:pPr>
      <w:r>
        <w:t>In 1969, a resident of Texas known as Jane Roe (</w:t>
      </w:r>
      <w:r w:rsidRPr="00E5000B">
        <w:t>a pseudonym used to protect her identity</w:t>
      </w:r>
      <w:r>
        <w:t xml:space="preserve">) wanted to terminate her pregnancy. </w:t>
      </w:r>
      <w:r w:rsidRPr="00E5000B">
        <w:t>Texas law made it a felony</w:t>
      </w:r>
      <w:r>
        <w:t xml:space="preserve"> (serious crime)</w:t>
      </w:r>
      <w:r w:rsidRPr="00E5000B">
        <w:t xml:space="preserve">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14:paraId="4493B705" w14:textId="77777777" w:rsidR="00E12D32" w:rsidRPr="00E34DD4" w:rsidRDefault="00E12D32" w:rsidP="00F52825">
      <w:pPr>
        <w:pStyle w:val="Basiccopysl"/>
      </w:pPr>
      <w:r w:rsidRPr="00E5000B">
        <w:lastRenderedPageBreak/>
        <w:t xml:space="preserve">A three-judge federal </w:t>
      </w:r>
      <w:r>
        <w:t>D</w:t>
      </w:r>
      <w:r w:rsidRPr="00E5000B">
        <w:t xml:space="preserve">istrict </w:t>
      </w:r>
      <w:r>
        <w:t>C</w:t>
      </w:r>
      <w:r w:rsidRPr="00E5000B">
        <w:t>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concluded that “[t]</w:t>
      </w:r>
      <w:r w:rsidRPr="00E33238">
        <w:rPr>
          <w:rFonts w:cs="Arial"/>
          <w:shd w:val="clear" w:color="auto" w:fill="FFFFFF"/>
          <w:lang w:val="en"/>
        </w:rPr>
        <w:t>he fundamental right of single women and married persons to choose whether to 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w:t>
      </w:r>
      <w:r w:rsidRPr="001B7A82">
        <w:rPr>
          <w:rFonts w:cs="Arial"/>
          <w:shd w:val="clear" w:color="auto" w:fill="FFFFFF"/>
          <w:vertAlign w:val="superscript"/>
          <w:lang w:val="en"/>
        </w:rPr>
        <w:t>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14:paraId="71E11BEC" w14:textId="77777777" w:rsidR="00E12D32" w:rsidRPr="001602D3" w:rsidRDefault="00E12D32" w:rsidP="00F52825">
      <w:pPr>
        <w:pStyle w:val="Subhead2sl"/>
        <w:spacing w:line="276" w:lineRule="auto"/>
        <w:rPr>
          <w:rFonts w:eastAsia="Times New Roman" w:cs="Calibri"/>
          <w:color w:val="222222"/>
        </w:rPr>
      </w:pPr>
      <w:r w:rsidRPr="001602D3">
        <w:t>Issue</w:t>
      </w:r>
    </w:p>
    <w:p w14:paraId="63F91628" w14:textId="77777777" w:rsidR="00E12D32" w:rsidRDefault="00E12D32" w:rsidP="00F52825">
      <w:pPr>
        <w:pStyle w:val="Basiccopysl"/>
        <w:rPr>
          <w:b/>
          <w:i/>
        </w:rPr>
      </w:pPr>
      <w:r w:rsidRPr="004E1741">
        <w:t xml:space="preserve">Does </w:t>
      </w:r>
      <w:r>
        <w:t xml:space="preserve">the U.S. Constitution protect the right of a woman to obtain an abortion? </w:t>
      </w:r>
    </w:p>
    <w:p w14:paraId="65D3EC3F" w14:textId="77777777" w:rsidR="00E12D32" w:rsidRPr="00497159" w:rsidRDefault="00E12D32" w:rsidP="00F52825">
      <w:pPr>
        <w:pStyle w:val="Subhead2sl"/>
        <w:spacing w:line="276" w:lineRule="auto"/>
      </w:pPr>
      <w:r w:rsidRPr="00497159">
        <w:t xml:space="preserve">Constitutional Amendments and </w:t>
      </w:r>
      <w:r>
        <w:t xml:space="preserve">Supreme Court </w:t>
      </w:r>
      <w:r w:rsidRPr="00497159">
        <w:t>Precedents</w:t>
      </w:r>
    </w:p>
    <w:p w14:paraId="0E1B266C" w14:textId="77777777" w:rsidR="00E12D32" w:rsidRPr="00497159" w:rsidRDefault="00E12D32" w:rsidP="00F52825">
      <w:pPr>
        <w:pStyle w:val="Bulletsl"/>
        <w:spacing w:before="240" w:line="276" w:lineRule="auto"/>
        <w:rPr>
          <w:b/>
        </w:rPr>
      </w:pPr>
      <w:r w:rsidRPr="00497159">
        <w:rPr>
          <w:b/>
        </w:rPr>
        <w:t xml:space="preserve">Ninth Amendment to the U.S. Constitution </w:t>
      </w:r>
    </w:p>
    <w:p w14:paraId="429DC88A" w14:textId="77777777" w:rsidR="00E12D32" w:rsidRPr="001602D3" w:rsidRDefault="00E12D32" w:rsidP="00F52825">
      <w:pPr>
        <w:pStyle w:val="Basiccopysl"/>
        <w:ind w:left="720"/>
      </w:pPr>
      <w:r w:rsidRPr="001602D3">
        <w:rPr>
          <w:shd w:val="clear" w:color="auto" w:fill="FFFFFF"/>
        </w:rPr>
        <w:t>“The enumeration in the Constitution, of certain rights, shall not be construed to deny or disparage others retained by the people.”</w:t>
      </w:r>
    </w:p>
    <w:p w14:paraId="3A231EAA" w14:textId="77777777" w:rsidR="00E12D32" w:rsidRPr="00497159" w:rsidRDefault="00E12D32" w:rsidP="00F52825">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14:paraId="705C3300" w14:textId="77777777" w:rsidR="00E12D32" w:rsidRPr="00497159" w:rsidRDefault="00E12D32" w:rsidP="00F52825">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14:paraId="1C1D7FA3" w14:textId="77777777" w:rsidR="00E12D32" w:rsidRPr="008906FE" w:rsidRDefault="00E12D32" w:rsidP="00F52825">
      <w:pPr>
        <w:pStyle w:val="Bulletsl"/>
        <w:spacing w:before="240" w:line="276" w:lineRule="auto"/>
        <w:rPr>
          <w:bCs/>
        </w:rPr>
      </w:pPr>
      <w:r w:rsidRPr="008906FE">
        <w:rPr>
          <w:bCs/>
          <w:i/>
        </w:rPr>
        <w:t>Griswold v. Connecticut</w:t>
      </w:r>
      <w:r w:rsidRPr="008906FE">
        <w:rPr>
          <w:bCs/>
        </w:rPr>
        <w:t xml:space="preserve"> (1965)</w:t>
      </w:r>
    </w:p>
    <w:p w14:paraId="32B654C6" w14:textId="77777777" w:rsidR="00E12D32" w:rsidRPr="00497159" w:rsidRDefault="00E12D32" w:rsidP="00F52825">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14:paraId="17DF117D" w14:textId="77777777" w:rsidR="00E12D32" w:rsidRPr="008906FE" w:rsidRDefault="00E12D32" w:rsidP="00F52825">
      <w:pPr>
        <w:pStyle w:val="Bulletsl"/>
        <w:spacing w:before="240" w:line="276" w:lineRule="auto"/>
        <w:rPr>
          <w:bCs/>
          <w:i/>
        </w:rPr>
      </w:pPr>
      <w:r w:rsidRPr="008906FE">
        <w:rPr>
          <w:bCs/>
          <w:i/>
        </w:rPr>
        <w:t xml:space="preserve">United States v. Vuitch </w:t>
      </w:r>
      <w:r w:rsidRPr="008906FE">
        <w:rPr>
          <w:bCs/>
        </w:rPr>
        <w:t>(1971)</w:t>
      </w:r>
    </w:p>
    <w:p w14:paraId="63AEAEEA" w14:textId="77777777" w:rsidR="00E12D32" w:rsidRPr="00497159" w:rsidRDefault="00E12D32" w:rsidP="00F52825">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Dr. Vuitch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14:paraId="3F79444A" w14:textId="77777777" w:rsidR="00E12D32" w:rsidRPr="00497159" w:rsidRDefault="00E12D32" w:rsidP="00F52825">
      <w:pPr>
        <w:pStyle w:val="Subhead2sl"/>
        <w:keepNext/>
        <w:spacing w:line="276" w:lineRule="auto"/>
      </w:pPr>
      <w:r w:rsidRPr="00497159">
        <w:lastRenderedPageBreak/>
        <w:t xml:space="preserve">Arguments for Roe </w:t>
      </w:r>
    </w:p>
    <w:p w14:paraId="2A3D9956" w14:textId="77777777" w:rsidR="00E12D32" w:rsidRPr="003D5F0D" w:rsidRDefault="00E12D32" w:rsidP="00F52825">
      <w:pPr>
        <w:pStyle w:val="Bulletsl"/>
        <w:spacing w:line="276" w:lineRule="auto"/>
      </w:pPr>
      <w:r w:rsidRPr="003D5F0D">
        <w:t>A woman’s right to privacy is implicitly guaranteed in the First, Fourth, Fifth, Ninth, and 14</w:t>
      </w:r>
      <w:r w:rsidRPr="001B7A82">
        <w:rPr>
          <w:vertAlign w:val="superscript"/>
        </w:rPr>
        <w:t>th</w:t>
      </w:r>
      <w:r w:rsidRPr="003D5F0D">
        <w:t xml:space="preserve"> Amendments. As the Court ruled in </w:t>
      </w:r>
      <w:r w:rsidRPr="003D5F0D">
        <w:rPr>
          <w:i/>
          <w:iCs/>
        </w:rPr>
        <w:t>Griswold</w:t>
      </w:r>
      <w:r w:rsidRPr="003D5F0D">
        <w:t>, there are certain matters—including the decision about whether to have a child—that are individual decisions protected by the Constitution.</w:t>
      </w:r>
    </w:p>
    <w:p w14:paraId="1830328A" w14:textId="77777777" w:rsidR="00E12D32" w:rsidRPr="003D5F0D" w:rsidRDefault="00E12D32" w:rsidP="00F52825">
      <w:pPr>
        <w:pStyle w:val="Bulletsl"/>
        <w:spacing w:line="276" w:lineRule="auto"/>
      </w:pPr>
      <w:r>
        <w:t>U</w:t>
      </w:r>
      <w:r w:rsidRPr="00C101B0">
        <w:t xml:space="preserve">nwanted pregnancies </w:t>
      </w:r>
      <w:r>
        <w:t xml:space="preserve">can have </w:t>
      </w:r>
      <w:r w:rsidRPr="00C101B0">
        <w:t xml:space="preserve">a major impact on </w:t>
      </w:r>
      <w:r>
        <w:t xml:space="preserve">women’s </w:t>
      </w:r>
      <w:r w:rsidRPr="00C101B0">
        <w:t xml:space="preserve">lives. </w:t>
      </w:r>
      <w:r w:rsidRPr="003D5F0D">
        <w:t xml:space="preserve">In the 1970s, women could be asked to leave their jobs if they became pregnant, and most employers did not provide maternity leave. Women could be endangering their careers or finances in addition to their psychological and physical health by being forced to carry a pregnancy to term. </w:t>
      </w:r>
    </w:p>
    <w:p w14:paraId="0C0F97C0" w14:textId="77777777" w:rsidR="00E12D32" w:rsidRPr="003D5F0D" w:rsidRDefault="00E12D32" w:rsidP="00F52825">
      <w:pPr>
        <w:pStyle w:val="Bulletsl"/>
        <w:spacing w:line="276" w:lineRule="auto"/>
      </w:pPr>
      <w:r w:rsidRPr="003D5F0D">
        <w:t>Women in Texas who wish to have an abortion must either travel to another state where abortion is legal or undergo an illegal abortion where conditions could be unsafe. Travel is costly and inconvenient, thus making access to a safe, legal abortion more difficult for poor women. Illegal abortions put women’s life, health, and well-being at risk.</w:t>
      </w:r>
    </w:p>
    <w:p w14:paraId="4D3D5C64" w14:textId="77777777" w:rsidR="00E12D32" w:rsidRPr="003D5F0D" w:rsidRDefault="00E12D32" w:rsidP="00F52825">
      <w:pPr>
        <w:pStyle w:val="Bulletsl"/>
        <w:spacing w:line="276" w:lineRule="auto"/>
      </w:pPr>
      <w:r w:rsidRPr="003D5F0D">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14:paraId="460E58A5" w14:textId="77777777" w:rsidR="00E12D32" w:rsidRPr="003D5F0D" w:rsidRDefault="00E12D32" w:rsidP="00F52825">
      <w:pPr>
        <w:pStyle w:val="Bulletsl"/>
        <w:spacing w:line="276" w:lineRule="auto"/>
      </w:pPr>
      <w:r w:rsidRPr="003D5F0D">
        <w:t>An unborn fetus is not legally recognized as a person and does not have rights equal to the mother. Abortions were more common in the 19</w:t>
      </w:r>
      <w:r w:rsidRPr="001B7A82">
        <w:rPr>
          <w:vertAlign w:val="superscript"/>
        </w:rPr>
        <w:t>th</w:t>
      </w:r>
      <w:r w:rsidRPr="003D5F0D">
        <w:t xml:space="preserve"> century, so it is clear that the framers of the 14</w:t>
      </w:r>
      <w:r w:rsidRPr="001B7A82">
        <w:rPr>
          <w:vertAlign w:val="superscript"/>
        </w:rPr>
        <w:t>th</w:t>
      </w:r>
      <w:r w:rsidRPr="003D5F0D">
        <w:t xml:space="preserve"> Amendment did not intend to include fetuses in the definition of “persons.” No Supreme Court case has established that a fetus is legally a person and, therefore, entitled to constitutional rights. </w:t>
      </w:r>
    </w:p>
    <w:p w14:paraId="2F6B967F" w14:textId="77777777" w:rsidR="00E12D32" w:rsidRPr="003D5F0D" w:rsidRDefault="00E12D32" w:rsidP="00F52825">
      <w:pPr>
        <w:pStyle w:val="Subhead2sl"/>
        <w:spacing w:line="276" w:lineRule="auto"/>
      </w:pPr>
      <w:r w:rsidRPr="003D5F0D">
        <w:t xml:space="preserve">Arguments for Wade </w:t>
      </w:r>
    </w:p>
    <w:p w14:paraId="4D7956D6" w14:textId="77777777" w:rsidR="00E12D32" w:rsidRPr="003D5F0D" w:rsidRDefault="00E12D32" w:rsidP="00F52825">
      <w:pPr>
        <w:pStyle w:val="Bulletsl"/>
        <w:spacing w:line="276" w:lineRule="auto"/>
      </w:pPr>
      <w:r w:rsidRPr="003D5F0D">
        <w:t>There is no right to abortion guaranteed in the Constitution. It is mentioned nowhere in the text, and there is no reason to believe that those who wrote the 14</w:t>
      </w:r>
      <w:r w:rsidRPr="001B7A82">
        <w:rPr>
          <w:vertAlign w:val="superscript"/>
        </w:rPr>
        <w:t>th</w:t>
      </w:r>
      <w:r w:rsidRPr="003D5F0D">
        <w:t xml:space="preserve"> Amendment intended to protect that right. </w:t>
      </w:r>
    </w:p>
    <w:p w14:paraId="43051B45" w14:textId="77777777" w:rsidR="00E12D32" w:rsidRPr="003D5F0D" w:rsidRDefault="00E12D32" w:rsidP="00F52825">
      <w:pPr>
        <w:pStyle w:val="Bulletsl"/>
        <w:spacing w:line="276" w:lineRule="auto"/>
      </w:pPr>
      <w:r w:rsidRPr="003D5F0D">
        <w:t xml:space="preserve">A fetus, from the date of conception, is a person and has constitutional rights. The state has an important interest in protecting its future citizens. The </w:t>
      </w:r>
      <w:r w:rsidRPr="003D5F0D">
        <w:rPr>
          <w:rFonts w:eastAsia="Times New Roman" w:cs="Calibri"/>
          <w:color w:val="222222"/>
        </w:rPr>
        <w:t xml:space="preserve">right to life of the unborn child is superior to the right to privacy of the mother. The balancing of the two interests should favor the most vulnerable, the unborn child. </w:t>
      </w:r>
    </w:p>
    <w:p w14:paraId="35F40381" w14:textId="77777777" w:rsidR="00E12D32" w:rsidRPr="003D5F0D" w:rsidRDefault="00E12D32" w:rsidP="00F52825">
      <w:pPr>
        <w:pStyle w:val="Bulletsl"/>
        <w:spacing w:line="276" w:lineRule="auto"/>
      </w:pPr>
      <w:r w:rsidRPr="003D5F0D">
        <w:rPr>
          <w:rFonts w:eastAsia="Times New Roman" w:cs="Calibri"/>
          <w:color w:val="222222"/>
        </w:rPr>
        <w:t xml:space="preserve">In previous decisions where the Court protected individual or marital privacy, that right was not absolute. All protected rights are subject to reasonable regulation, and Texas has a strong interest in protecting life and protecting women’s health, so the abortion restrictions are reasonable. </w:t>
      </w:r>
    </w:p>
    <w:p w14:paraId="6D3732BE" w14:textId="77777777" w:rsidR="00E12D32" w:rsidRPr="003D5F0D" w:rsidRDefault="00E12D32" w:rsidP="00F52825">
      <w:pPr>
        <w:pStyle w:val="Bulletsl"/>
        <w:spacing w:line="276" w:lineRule="auto"/>
      </w:pPr>
      <w:r w:rsidRPr="003D5F0D">
        <w:lastRenderedPageBreak/>
        <w:t xml:space="preserve">Abortion is different from contraception, so the Court’s decision in </w:t>
      </w:r>
      <w:r w:rsidRPr="003D5F0D">
        <w:rPr>
          <w:i/>
        </w:rPr>
        <w:t>Griswold v. Connecticut</w:t>
      </w:r>
      <w:r w:rsidRPr="003D5F0D">
        <w:t xml:space="preserve"> does not apply here. Contraception prevents creation of life whereas abortion destroys existing life.</w:t>
      </w:r>
    </w:p>
    <w:p w14:paraId="79A29CC7" w14:textId="77777777" w:rsidR="00E12D32" w:rsidRPr="003D5F0D" w:rsidRDefault="00E12D32" w:rsidP="00F52825">
      <w:pPr>
        <w:pStyle w:val="Bulletsl"/>
        <w:spacing w:line="276" w:lineRule="auto"/>
      </w:pPr>
      <w:r w:rsidRPr="003D5F0D">
        <w:t>Abortion is a policy matter best left to the state legislatures to decide. As elected officials, legislators make laws that reflect the popular will and morality of the people—as they have done here. The prohibition against abortion in Texas has existed since 1854.</w:t>
      </w:r>
    </w:p>
    <w:p w14:paraId="6E6584F0" w14:textId="77777777" w:rsidR="00E12D32" w:rsidRPr="0082428A" w:rsidRDefault="00E12D32" w:rsidP="00F52825">
      <w:pPr>
        <w:pStyle w:val="Subhead2sl"/>
        <w:spacing w:line="276" w:lineRule="auto"/>
      </w:pPr>
      <w:r w:rsidRPr="0082428A">
        <w:rPr>
          <w:rStyle w:val="Subhead2slChar"/>
          <w:b/>
          <w:i/>
        </w:rPr>
        <w:t>Decision</w:t>
      </w:r>
    </w:p>
    <w:p w14:paraId="47A9D4C3" w14:textId="601B69B4" w:rsidR="00E12D32" w:rsidRPr="00497159" w:rsidRDefault="00E12D32" w:rsidP="00F52825">
      <w:pPr>
        <w:pStyle w:val="Basiccopysl"/>
      </w:pPr>
      <w:r w:rsidRPr="00497159">
        <w:t>In a 7</w:t>
      </w:r>
      <w:r w:rsidR="00D70213">
        <w:t>-</w:t>
      </w:r>
      <w:r w:rsidRPr="00497159">
        <w:t xml:space="preserve">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14:paraId="59541421" w14:textId="77777777" w:rsidR="00E12D32" w:rsidRPr="00497159" w:rsidRDefault="00E12D32" w:rsidP="00F52825">
      <w:pPr>
        <w:pStyle w:val="Subhead3sl"/>
      </w:pPr>
      <w:r w:rsidRPr="00497159">
        <w:t>Majority</w:t>
      </w:r>
    </w:p>
    <w:p w14:paraId="09952749" w14:textId="499B72A3" w:rsidR="00E12D32" w:rsidRPr="00E5000B" w:rsidRDefault="00E12D32" w:rsidP="00F52825">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1B7A82">
        <w:rPr>
          <w:vertAlign w:val="superscript"/>
        </w:rPr>
        <w:t>th</w:t>
      </w:r>
      <w:r>
        <w:t xml:space="preserve"> Amendment, </w:t>
      </w:r>
      <w:r w:rsidRPr="00E5000B">
        <w:t>which prohibits states from “depriv[ing] any person of … liberty … without due process of law</w:t>
      </w:r>
      <w:r>
        <w:t>.</w:t>
      </w:r>
      <w:r w:rsidRPr="00E5000B">
        <w:t xml:space="preserve">” </w:t>
      </w:r>
      <w:r>
        <w:t>According to the majority, the “liberty” protected by the 14</w:t>
      </w:r>
      <w:r w:rsidRPr="001B7A82">
        <w:rPr>
          <w:vertAlign w:val="superscript"/>
        </w:rPr>
        <w:t>th</w:t>
      </w:r>
      <w:r>
        <w:t xml:space="preserve"> Amendment includes </w:t>
      </w:r>
      <w:r w:rsidRPr="00E5000B">
        <w:t>a fundamental right to privacy.</w:t>
      </w:r>
      <w:r>
        <w:t xml:space="preserve"> The majority began by surveying the history of abortion </w:t>
      </w:r>
      <w:r w:rsidR="00462097">
        <w:t>laws and</w:t>
      </w:r>
      <w:r>
        <w:t xml:space="preserve">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14:paraId="3A10C136" w14:textId="77777777" w:rsidR="00E12D32" w:rsidRPr="00E5000B" w:rsidRDefault="00E12D32" w:rsidP="00F52825">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woman’s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14:paraId="2FD0F61B" w14:textId="77777777" w:rsidR="00E12D32" w:rsidRPr="001602D3" w:rsidRDefault="00E12D32" w:rsidP="00F52825">
      <w:pPr>
        <w:pStyle w:val="Basiccopysl"/>
      </w:pPr>
      <w:r>
        <w:lastRenderedPageBreak/>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14:paraId="7E7E3A34" w14:textId="77777777" w:rsidR="00E12D32" w:rsidRPr="00497159" w:rsidRDefault="00E12D32" w:rsidP="00F52825">
      <w:pPr>
        <w:pStyle w:val="Subhead3sl"/>
      </w:pPr>
      <w:r w:rsidRPr="00497159">
        <w:t xml:space="preserve">Concurrences </w:t>
      </w:r>
    </w:p>
    <w:p w14:paraId="4B8BD945" w14:textId="49431E4E" w:rsidR="00E12D32" w:rsidRPr="00E34DD4" w:rsidRDefault="00E12D32" w:rsidP="00F52825">
      <w:pPr>
        <w:pStyle w:val="Basiccopysl"/>
        <w:rPr>
          <w:rFonts w:cs="Arial"/>
          <w:color w:val="000000"/>
        </w:rPr>
      </w:pPr>
      <w:r>
        <w:t xml:space="preserve">Three justices filed concurring opinions in the case. </w:t>
      </w:r>
      <w:r w:rsidRPr="00E34DD4">
        <w:t xml:space="preserve">Justice </w:t>
      </w:r>
      <w:r>
        <w:t>Stewart emphasized that the Court was basing its holding on the so-called “substantive” component of the Due Process Clause of the 14</w:t>
      </w:r>
      <w:r w:rsidRPr="001B7A82">
        <w:rPr>
          <w:vertAlign w:val="superscript"/>
        </w:rPr>
        <w:t>th</w:t>
      </w:r>
      <w:r>
        <w:t xml:space="preserve"> Amendment. Justice Douglas rejected Justice Stewart’s invocation of “substantive” due process, but</w:t>
      </w:r>
      <w:r w:rsidR="00D70213">
        <w:t xml:space="preserve"> he</w:t>
      </w:r>
      <w:r>
        <w:t xml:space="preserve"> agreed that the constitutional right at issue was based in the term “liberty” in the Due Process Clause of the 14</w:t>
      </w:r>
      <w:r w:rsidRPr="001B7A82">
        <w:rPr>
          <w:vertAlign w:val="superscript"/>
        </w:rPr>
        <w:t>th</w:t>
      </w:r>
      <w:r>
        <w:t xml:space="preserve"> Amendment. Chief Justice Burger underscored that “the Court today rejects any claim that the Constitution requires abortions on demand.” </w:t>
      </w:r>
    </w:p>
    <w:p w14:paraId="4F1B19FC" w14:textId="77777777" w:rsidR="00E12D32" w:rsidRPr="00E34DD4" w:rsidRDefault="00E12D32" w:rsidP="00F52825">
      <w:pPr>
        <w:pStyle w:val="Subhead3sl"/>
      </w:pPr>
      <w:r w:rsidRPr="00E34DD4">
        <w:t>Dissent</w:t>
      </w:r>
      <w:r>
        <w:t>s</w:t>
      </w:r>
    </w:p>
    <w:p w14:paraId="5DC0C44B" w14:textId="77777777" w:rsidR="00E12D32" w:rsidRDefault="00E12D32" w:rsidP="00F52825">
      <w:pPr>
        <w:pStyle w:val="Basiccopysl"/>
        <w:rPr>
          <w:rFonts w:eastAsia="Times New Roman" w:cs="Calibri"/>
          <w:color w:val="222222"/>
        </w:rPr>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 xml:space="preserve">abortion did not fit within the right of “privacy” recognized in the Court’s previous cases and characterizing the decision as “partak[ing]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14:paraId="473752BA" w14:textId="77777777" w:rsidR="00E12D32" w:rsidRPr="007F1413" w:rsidRDefault="00E12D32" w:rsidP="00F52825">
      <w:pPr>
        <w:pStyle w:val="Basiccopysl"/>
        <w:spacing w:before="360"/>
        <w:rPr>
          <w:rFonts w:ascii="Gill Sans MT" w:eastAsia="Times New Roman" w:hAnsi="Gill Sans MT" w:cs="Calibri"/>
          <w:b/>
          <w:bCs/>
          <w:i/>
          <w:iCs/>
          <w:color w:val="222222"/>
        </w:rPr>
      </w:pPr>
      <w:r w:rsidRPr="007F1413">
        <w:rPr>
          <w:rFonts w:ascii="Gill Sans MT" w:eastAsia="Times New Roman" w:hAnsi="Gill Sans MT" w:cs="Calibri"/>
          <w:b/>
          <w:bCs/>
          <w:i/>
          <w:iCs/>
          <w:color w:val="222222"/>
        </w:rPr>
        <w:t>Impact</w:t>
      </w:r>
    </w:p>
    <w:p w14:paraId="306D8F79" w14:textId="77777777" w:rsidR="00E12D32" w:rsidRDefault="00E12D32" w:rsidP="00F52825">
      <w:pPr>
        <w:spacing w:after="120" w:line="276" w:lineRule="auto"/>
        <w:rPr>
          <w:szCs w:val="24"/>
        </w:rPr>
      </w:pPr>
      <w:r>
        <w:rPr>
          <w:szCs w:val="24"/>
        </w:rPr>
        <w:t xml:space="preserve">The immediate impact of the decision in </w:t>
      </w:r>
      <w:r w:rsidRPr="00487093">
        <w:rPr>
          <w:i/>
          <w:iCs/>
          <w:szCs w:val="24"/>
        </w:rPr>
        <w:t>Roe v. Wade</w:t>
      </w:r>
      <w:r>
        <w:rPr>
          <w:szCs w:val="24"/>
        </w:rPr>
        <w:t xml:space="preserve"> was the striking down of laws that banned or severely restricted abortions in 30 states, including Texas. </w:t>
      </w:r>
    </w:p>
    <w:p w14:paraId="7625EFFE" w14:textId="77777777" w:rsidR="00E12D32" w:rsidRDefault="00E12D32" w:rsidP="00F52825">
      <w:pPr>
        <w:spacing w:after="480" w:line="276" w:lineRule="auto"/>
        <w:rPr>
          <w:szCs w:val="24"/>
        </w:rPr>
      </w:pPr>
      <w:r w:rsidRPr="007F1413">
        <w:rPr>
          <w:szCs w:val="24"/>
        </w:rPr>
        <w:t>S</w:t>
      </w:r>
      <w:r>
        <w:rPr>
          <w:szCs w:val="24"/>
        </w:rPr>
        <w:t xml:space="preserve">ince </w:t>
      </w:r>
      <w:r w:rsidRPr="004D3892">
        <w:rPr>
          <w:i/>
          <w:iCs/>
          <w:szCs w:val="24"/>
        </w:rPr>
        <w:t>Roe v. Wade</w:t>
      </w:r>
      <w:r>
        <w:rPr>
          <w:szCs w:val="24"/>
        </w:rPr>
        <w:t>, s</w:t>
      </w:r>
      <w:r w:rsidRPr="007F1413">
        <w:rPr>
          <w:szCs w:val="24"/>
        </w:rPr>
        <w:t xml:space="preserve">everal states have passed laws regulating abortion; these are often challenged in court. </w:t>
      </w:r>
      <w:r>
        <w:rPr>
          <w:szCs w:val="24"/>
        </w:rPr>
        <w:t xml:space="preserve">The decision in </w:t>
      </w:r>
      <w:r w:rsidRPr="007F1413">
        <w:rPr>
          <w:i/>
          <w:iCs/>
          <w:szCs w:val="24"/>
        </w:rPr>
        <w:t>Roe v. Wade</w:t>
      </w:r>
      <w:r w:rsidRPr="007F1413">
        <w:rPr>
          <w:szCs w:val="24"/>
        </w:rPr>
        <w:t xml:space="preserve"> </w:t>
      </w:r>
      <w:r>
        <w:rPr>
          <w:szCs w:val="24"/>
        </w:rPr>
        <w:t>acted as precedent</w:t>
      </w:r>
      <w:r w:rsidRPr="007F1413">
        <w:rPr>
          <w:szCs w:val="24"/>
        </w:rPr>
        <w:t xml:space="preserve"> for several </w:t>
      </w:r>
      <w:r>
        <w:rPr>
          <w:szCs w:val="24"/>
        </w:rPr>
        <w:t>later</w:t>
      </w:r>
      <w:r w:rsidRPr="007F1413">
        <w:rPr>
          <w:szCs w:val="24"/>
        </w:rPr>
        <w:t xml:space="preserve"> decisions regarding abortion, </w:t>
      </w:r>
      <w:r w:rsidRPr="007F1413">
        <w:rPr>
          <w:szCs w:val="24"/>
        </w:rPr>
        <w:lastRenderedPageBreak/>
        <w:t xml:space="preserve">such as </w:t>
      </w:r>
      <w:r w:rsidRPr="007F1413">
        <w:rPr>
          <w:i/>
          <w:iCs/>
          <w:szCs w:val="24"/>
        </w:rPr>
        <w:t>Planned Parenthood of Southeastern Pennsylvania v. Casey</w:t>
      </w:r>
      <w:r w:rsidRPr="007F1413">
        <w:rPr>
          <w:szCs w:val="24"/>
        </w:rPr>
        <w:t xml:space="preserve">, </w:t>
      </w:r>
      <w:r w:rsidRPr="007F1413">
        <w:rPr>
          <w:i/>
          <w:iCs/>
          <w:szCs w:val="24"/>
        </w:rPr>
        <w:t>Gonzales v. Carhart</w:t>
      </w:r>
      <w:r w:rsidRPr="007F1413">
        <w:rPr>
          <w:szCs w:val="24"/>
        </w:rPr>
        <w:t xml:space="preserve">, </w:t>
      </w:r>
      <w:r w:rsidRPr="007F1413">
        <w:rPr>
          <w:i/>
          <w:iCs/>
          <w:szCs w:val="24"/>
        </w:rPr>
        <w:t>Whole Woman’s Health v. Hellerstedt</w:t>
      </w:r>
      <w:r>
        <w:rPr>
          <w:szCs w:val="24"/>
        </w:rPr>
        <w:t xml:space="preserve">, and </w:t>
      </w:r>
      <w:r w:rsidRPr="00C30776">
        <w:rPr>
          <w:i/>
          <w:iCs/>
          <w:szCs w:val="24"/>
        </w:rPr>
        <w:t>June Medical Services v. Russo</w:t>
      </w:r>
      <w:r>
        <w:rPr>
          <w:szCs w:val="24"/>
        </w:rPr>
        <w:t>.</w:t>
      </w:r>
      <w:r w:rsidRPr="007F1413">
        <w:rPr>
          <w:szCs w:val="24"/>
        </w:rPr>
        <w:t xml:space="preserve"> </w:t>
      </w:r>
      <w:r>
        <w:rPr>
          <w:szCs w:val="24"/>
        </w:rPr>
        <w:t xml:space="preserve">The decisions in these cases upheld </w:t>
      </w:r>
      <w:r w:rsidRPr="00B6501B">
        <w:rPr>
          <w:i/>
          <w:iCs/>
          <w:szCs w:val="24"/>
        </w:rPr>
        <w:t>Roe v. Wade</w:t>
      </w:r>
      <w:r>
        <w:rPr>
          <w:szCs w:val="24"/>
        </w:rPr>
        <w:t xml:space="preserve"> but allowed for some restrictions like waiting periods and parental notification for minors. </w:t>
      </w:r>
      <w:r w:rsidRPr="007F1413">
        <w:rPr>
          <w:szCs w:val="24"/>
        </w:rPr>
        <w:t xml:space="preserve">Although the </w:t>
      </w:r>
      <w:r>
        <w:rPr>
          <w:szCs w:val="24"/>
        </w:rPr>
        <w:t xml:space="preserve">Supreme </w:t>
      </w:r>
      <w:r w:rsidRPr="007F1413">
        <w:rPr>
          <w:szCs w:val="24"/>
        </w:rPr>
        <w:t xml:space="preserve">Court no longer uses the trimester framework declared in </w:t>
      </w:r>
      <w:r w:rsidRPr="007F1413">
        <w:rPr>
          <w:i/>
          <w:iCs/>
          <w:szCs w:val="24"/>
        </w:rPr>
        <w:t>Roe v. Wade</w:t>
      </w:r>
      <w:r w:rsidRPr="007F1413">
        <w:rPr>
          <w:szCs w:val="24"/>
        </w:rPr>
        <w:t xml:space="preserve">, the Court has continued to rule that </w:t>
      </w:r>
      <w:r>
        <w:rPr>
          <w:szCs w:val="24"/>
        </w:rPr>
        <w:t xml:space="preserve">laws placing an undue burden on women seeking </w:t>
      </w:r>
      <w:r w:rsidRPr="007F1413">
        <w:rPr>
          <w:szCs w:val="24"/>
        </w:rPr>
        <w:t>abortion</w:t>
      </w:r>
      <w:r>
        <w:rPr>
          <w:szCs w:val="24"/>
        </w:rPr>
        <w:t xml:space="preserve">s are unconstitutional </w:t>
      </w:r>
      <w:r w:rsidRPr="007F1413">
        <w:rPr>
          <w:szCs w:val="24"/>
        </w:rPr>
        <w:t xml:space="preserve">despite permitting some restrictions on the procedure.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E12D32" w14:paraId="25844573" w14:textId="77777777" w:rsidTr="00E12D32">
        <w:tc>
          <w:tcPr>
            <w:tcW w:w="9350" w:type="dxa"/>
            <w:shd w:val="clear" w:color="auto" w:fill="F2F2F2" w:themeFill="background1" w:themeFillShade="F2"/>
          </w:tcPr>
          <w:p w14:paraId="2874D7B7" w14:textId="77777777" w:rsidR="00E12D32" w:rsidRDefault="00E12D32" w:rsidP="00F52825">
            <w:pPr>
              <w:pStyle w:val="Basiccopysl"/>
              <w:spacing w:before="120"/>
            </w:pPr>
            <w:r>
              <w:t xml:space="preserve">Additional information about </w:t>
            </w:r>
            <w:r w:rsidRPr="008906FE">
              <w:rPr>
                <w:i/>
                <w:iCs/>
              </w:rPr>
              <w:t>Roe v. Wade</w:t>
            </w:r>
            <w:r w:rsidRPr="00813AF7">
              <w:rPr>
                <w:i/>
                <w:iCs/>
              </w:rPr>
              <w:t>,</w:t>
            </w:r>
            <w:r>
              <w:t xml:space="preserve"> including background at three reading levels, opinion quotes and summaries, teaching activities, and additional resources, can be found at </w:t>
            </w:r>
            <w:hyperlink r:id="rId50" w:history="1">
              <w:r w:rsidRPr="00E73DD3">
                <w:rPr>
                  <w:rStyle w:val="Hyperlink"/>
                  <w:color w:val="auto"/>
                </w:rPr>
                <w:t>https://www.landmarkcases.org/</w:t>
              </w:r>
            </w:hyperlink>
            <w:r w:rsidRPr="00E73DD3">
              <w:t>.</w:t>
            </w:r>
          </w:p>
        </w:tc>
      </w:tr>
    </w:tbl>
    <w:p w14:paraId="5E690892" w14:textId="77777777" w:rsidR="00E12D32" w:rsidRDefault="00E12D32" w:rsidP="00F52825">
      <w:pPr>
        <w:pStyle w:val="Basiccopysl"/>
      </w:pPr>
    </w:p>
    <w:p w14:paraId="59CB04CB" w14:textId="77777777" w:rsidR="00E12D32" w:rsidRDefault="00E12D32" w:rsidP="00F52825">
      <w:pPr>
        <w:pStyle w:val="Heading1"/>
        <w:spacing w:line="276" w:lineRule="auto"/>
        <w:sectPr w:rsidR="00E12D32" w:rsidSect="00F42CDF">
          <w:headerReference w:type="default" r:id="rId51"/>
          <w:footerReference w:type="default" r:id="rId52"/>
          <w:headerReference w:type="first" r:id="rId53"/>
          <w:footerReference w:type="first" r:id="rId54"/>
          <w:footnotePr>
            <w:numFmt w:val="chicago"/>
          </w:footnotePr>
          <w:pgSz w:w="12240" w:h="15840"/>
          <w:pgMar w:top="1440" w:right="1440" w:bottom="1440" w:left="1440" w:header="720" w:footer="720" w:gutter="0"/>
          <w:cols w:space="720"/>
          <w:titlePg/>
          <w:docGrid w:linePitch="360"/>
        </w:sectPr>
      </w:pPr>
    </w:p>
    <w:p w14:paraId="31A19C1A" w14:textId="77777777" w:rsidR="00F52825" w:rsidRPr="00810E29" w:rsidRDefault="00F52825" w:rsidP="00F52825">
      <w:pPr>
        <w:spacing w:after="0" w:line="276" w:lineRule="auto"/>
        <w:rPr>
          <w:sz w:val="12"/>
          <w:szCs w:val="10"/>
        </w:rPr>
      </w:pPr>
    </w:p>
    <w:p w14:paraId="796C3973" w14:textId="66206C5F" w:rsidR="00E12D32" w:rsidRPr="002D2DBF" w:rsidRDefault="00E12D32" w:rsidP="00CC30C5">
      <w:pPr>
        <w:pStyle w:val="Heading1"/>
      </w:pPr>
      <w:bookmarkStart w:id="16" w:name="_Toc80619880"/>
      <w:r w:rsidRPr="62FF543F">
        <w:t xml:space="preserve">Schenck v. United States </w:t>
      </w:r>
      <w:r w:rsidRPr="00CC30C5">
        <w:rPr>
          <w:i w:val="0"/>
          <w:iCs w:val="0"/>
        </w:rPr>
        <w:t>(1919)</w:t>
      </w:r>
      <w:bookmarkEnd w:id="16"/>
    </w:p>
    <w:p w14:paraId="47E4F4E0" w14:textId="77777777" w:rsidR="00E12D32" w:rsidRPr="00B81D80" w:rsidRDefault="00E12D32" w:rsidP="00F52825">
      <w:pPr>
        <w:pStyle w:val="Basiccopysl"/>
        <w:jc w:val="center"/>
        <w:rPr>
          <w:b/>
          <w:i/>
        </w:rPr>
      </w:pPr>
      <w:r w:rsidRPr="002D2DBF">
        <w:rPr>
          <w:b/>
        </w:rPr>
        <w:t>Argued:</w:t>
      </w:r>
      <w:r w:rsidRPr="00B81D80">
        <w:t xml:space="preserve"> January 9</w:t>
      </w:r>
      <w:r>
        <w:t>–</w:t>
      </w:r>
      <w:r w:rsidRPr="00B81D80">
        <w:t>10, 1919</w:t>
      </w:r>
    </w:p>
    <w:p w14:paraId="35931835" w14:textId="77777777" w:rsidR="00E12D32" w:rsidRPr="00B81D80" w:rsidRDefault="00E12D32" w:rsidP="00F52825">
      <w:pPr>
        <w:pStyle w:val="Basiccopysl"/>
        <w:jc w:val="center"/>
        <w:rPr>
          <w:b/>
          <w:i/>
        </w:rPr>
      </w:pPr>
      <w:r w:rsidRPr="002D2DBF">
        <w:rPr>
          <w:b/>
        </w:rPr>
        <w:t>Decided:</w:t>
      </w:r>
      <w:r w:rsidRPr="00B81D80">
        <w:t xml:space="preserve"> March 3, 1919</w:t>
      </w:r>
    </w:p>
    <w:p w14:paraId="67147322" w14:textId="77777777" w:rsidR="00E12D32" w:rsidRPr="002D2DBF" w:rsidRDefault="00E12D32" w:rsidP="00F52825">
      <w:pPr>
        <w:pStyle w:val="Subhead2sl"/>
        <w:spacing w:line="276" w:lineRule="auto"/>
      </w:pPr>
      <w:r w:rsidRPr="002D2DBF">
        <w:t>Background</w:t>
      </w:r>
    </w:p>
    <w:p w14:paraId="1691BCF1" w14:textId="77777777" w:rsidR="00E12D32" w:rsidRDefault="00E12D32" w:rsidP="00F52825">
      <w:pPr>
        <w:pStyle w:val="Basiccopysl"/>
        <w:rPr>
          <w:b/>
          <w:bCs/>
          <w:i/>
          <w:iCs/>
        </w:rPr>
      </w:pPr>
      <w:r>
        <w:t>The First Amendment to the U.S. Constitution protects the freedom of speech. However, like all rights protected by the Constitution, this right is not absolute. The government can place reasonable limits on protected rights in many instances. How much the government can limit free speech depends on the context including the time, manner, and place the speech occurs. Generally, the government cannot control the content of someone’s speech. At various points in history, the government has argued that national security concerns or times of war permit the government to place additional restrictions on speech. Two months after the United States formally entered World War I, Congress passed the Espionage Act of 1917. Many elected officials were worried about the presence of foreign spies or American sympathizers with enemies of the Unites States. The Espionage Act stated,</w:t>
      </w:r>
      <w:r w:rsidRPr="62FF543F">
        <w:rPr>
          <w:b/>
          <w:bCs/>
        </w:rPr>
        <w:t xml:space="preserve"> </w:t>
      </w:r>
      <w:r>
        <w:t xml:space="preserve">“Whoever, when the United States is at war, … shall willfully obstruct the recruiting or enlistment service of the United States, to the injury of the service or of the United States, shall be punished by a fine of not more than $10,000 or imprisonment for not more than twenty years, or both.” A number of Americans were arrested and convicted under this law during World War I. </w:t>
      </w:r>
    </w:p>
    <w:p w14:paraId="700A1801" w14:textId="77777777" w:rsidR="00E12D32" w:rsidRDefault="00E12D32" w:rsidP="00F52825">
      <w:pPr>
        <w:pStyle w:val="Basiccopysl"/>
      </w:pPr>
      <w:r>
        <w:t xml:space="preserve">In this case the Supreme Court had to decide whether the speech that was punished for violating the Espionage Act was protected by the First Amendment. </w:t>
      </w:r>
    </w:p>
    <w:p w14:paraId="4E47CFE1" w14:textId="77777777" w:rsidR="00E12D32" w:rsidRPr="002D2DBF" w:rsidRDefault="00E12D32" w:rsidP="00F52825">
      <w:pPr>
        <w:pStyle w:val="Subhead2sl"/>
        <w:spacing w:line="276" w:lineRule="auto"/>
      </w:pPr>
      <w:r w:rsidRPr="002D2DBF">
        <w:t>Facts</w:t>
      </w:r>
    </w:p>
    <w:p w14:paraId="33FECBC5" w14:textId="77777777" w:rsidR="00E12D32" w:rsidRPr="00B81D80" w:rsidRDefault="00E12D32" w:rsidP="00F52825">
      <w:pPr>
        <w:pStyle w:val="Basiccopysl"/>
        <w:rPr>
          <w:b/>
          <w:bCs/>
          <w:i/>
          <w:iCs/>
        </w:rPr>
      </w:pPr>
      <w:r>
        <w:t xml:space="preserve">Charles T. Schenck was the general secretary for the Socialist Party chapter in Philadelphia. He was convicted of violating the Espionage Act after printing and mailing 15,000 fliers to draft-age men arguing that conscription (the draft) was unconstitutional and urging them to resist. Elizabeth Baer, a fellow executive committee member of the chapter, was also convicted.  </w:t>
      </w:r>
    </w:p>
    <w:p w14:paraId="50DC2705" w14:textId="77777777" w:rsidR="00E12D32" w:rsidRPr="00B81D80" w:rsidRDefault="00E12D32" w:rsidP="00F52825">
      <w:pPr>
        <w:pStyle w:val="Basiccopysl"/>
        <w:rPr>
          <w:b/>
          <w:i/>
        </w:rPr>
      </w:pPr>
      <w:r w:rsidRPr="00B81D80">
        <w:t xml:space="preserve">On the side of the flier entitled </w:t>
      </w:r>
      <w:r w:rsidRPr="001E3EE7">
        <w:t>“Long Live the Constitution of the United States,”</w:t>
      </w:r>
      <w:r w:rsidRPr="00B81D80">
        <w:t xml:space="preserve"> the Socialist Party argued that conscription was a form of “involuntary servitude” and thereby outlawed by the </w:t>
      </w:r>
      <w:r>
        <w:t>13</w:t>
      </w:r>
      <w:r w:rsidRPr="00C61F59">
        <w:rPr>
          <w:vertAlign w:val="superscript"/>
        </w:rPr>
        <w:t>th</w:t>
      </w:r>
      <w:r w:rsidRPr="00B81D80">
        <w:t xml:space="preserve"> Amendment. Schenck’s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14:paraId="28D1DE95" w14:textId="77777777" w:rsidR="00E12D32" w:rsidRDefault="00E12D32" w:rsidP="00F52825">
      <w:pPr>
        <w:pStyle w:val="Basiccopysl"/>
        <w:rPr>
          <w:b/>
          <w:bCs/>
          <w:i/>
          <w:iCs/>
        </w:rPr>
      </w:pPr>
      <w:r>
        <w:t xml:space="preserve">On the reverse side entitled “Assert Your Rights!”, Schenck adopted more fiery language. He implored his audience to “do your share to maintain, support and uphold the rights of the people of </w:t>
      </w:r>
      <w:r>
        <w:lastRenderedPageBreak/>
        <w:t>this country” or else “you are helping condone a most infamous and insidious conspiracy” fueled by “cunning politicians and a mercenary capitalist press.”</w:t>
      </w:r>
    </w:p>
    <w:p w14:paraId="1654C5F6" w14:textId="77777777" w:rsidR="00E12D32" w:rsidRPr="00B81D80" w:rsidRDefault="00E12D32" w:rsidP="00F52825">
      <w:pPr>
        <w:pStyle w:val="Basiccopysl"/>
      </w:pPr>
      <w:r>
        <w:t xml:space="preserve">In 1917, after Schenck’s conviction for violating the Espionage Act, he asked the trial court for a new trial. This request was denied. He then appealed to the U.S. Supreme Court, which agreed to review his case in 1919. </w:t>
      </w:r>
    </w:p>
    <w:p w14:paraId="4D3B1AF3" w14:textId="77777777" w:rsidR="00E12D32" w:rsidRPr="002D2DBF" w:rsidRDefault="00E12D32" w:rsidP="00F52825">
      <w:pPr>
        <w:pStyle w:val="Subhead2sl"/>
        <w:spacing w:line="276" w:lineRule="auto"/>
      </w:pPr>
      <w:r w:rsidRPr="002D2DBF">
        <w:t>Issue</w:t>
      </w:r>
    </w:p>
    <w:p w14:paraId="6F85B909" w14:textId="77777777" w:rsidR="00E12D32" w:rsidRPr="00B81D80" w:rsidRDefault="00E12D32" w:rsidP="00F52825">
      <w:pPr>
        <w:pStyle w:val="Basiccopysl"/>
        <w:rPr>
          <w:b/>
          <w:i/>
        </w:rPr>
      </w:pPr>
      <w:r>
        <w:t xml:space="preserve">Did Schenck’s conviction under the Espionage Act for criticizing the draft violate his First Amendment free speech rights? </w:t>
      </w:r>
    </w:p>
    <w:p w14:paraId="78188986" w14:textId="77777777" w:rsidR="00E12D32" w:rsidRPr="002D2DBF" w:rsidRDefault="00E12D32" w:rsidP="00F52825">
      <w:pPr>
        <w:pStyle w:val="Subhead2sl"/>
        <w:spacing w:line="276" w:lineRule="auto"/>
      </w:pPr>
      <w:r>
        <w:t>Constitutional Provisions and Federal Statute</w:t>
      </w:r>
    </w:p>
    <w:p w14:paraId="6060D23D" w14:textId="77777777" w:rsidR="00E12D32" w:rsidRPr="002D2DBF" w:rsidRDefault="00E12D32" w:rsidP="00F52825">
      <w:pPr>
        <w:pStyle w:val="Bulletsl"/>
        <w:spacing w:before="240" w:line="276" w:lineRule="auto"/>
        <w:rPr>
          <w:b/>
          <w:i/>
        </w:rPr>
      </w:pPr>
      <w:r>
        <w:rPr>
          <w:b/>
        </w:rPr>
        <w:t xml:space="preserve">First Amendment to the </w:t>
      </w:r>
      <w:r w:rsidRPr="002D2DBF">
        <w:rPr>
          <w:b/>
        </w:rPr>
        <w:t>U.S. Constitution</w:t>
      </w:r>
      <w:r>
        <w:rPr>
          <w:b/>
        </w:rPr>
        <w:t xml:space="preserve"> </w:t>
      </w:r>
    </w:p>
    <w:p w14:paraId="7D6E5209" w14:textId="77777777" w:rsidR="00E12D32" w:rsidRPr="00B81D80" w:rsidRDefault="00E12D32" w:rsidP="00F52825">
      <w:pPr>
        <w:pStyle w:val="Basiccopysl"/>
        <w:ind w:left="720"/>
      </w:pPr>
      <w:r>
        <w:t>“Congress shall make no law… abridging the freedom of speech, or of the press; or the right of the people peaceably to assemble, and to petition the Government for a redress of grievances.”</w:t>
      </w:r>
    </w:p>
    <w:p w14:paraId="0C4E2858" w14:textId="77777777" w:rsidR="00E12D32" w:rsidRPr="002D2DBF" w:rsidRDefault="00E12D32" w:rsidP="00F52825">
      <w:pPr>
        <w:pStyle w:val="Bulletsl"/>
        <w:spacing w:before="240" w:line="276" w:lineRule="auto"/>
        <w:rPr>
          <w:b/>
        </w:rPr>
      </w:pPr>
      <w:r w:rsidRPr="002D2DBF">
        <w:rPr>
          <w:b/>
        </w:rPr>
        <w:t>Espionage Act, Section 3</w:t>
      </w:r>
    </w:p>
    <w:p w14:paraId="2D6E8239" w14:textId="77777777" w:rsidR="00E12D32" w:rsidRDefault="00E12D32" w:rsidP="00F52825">
      <w:pPr>
        <w:pStyle w:val="Basiccopysl"/>
        <w:ind w:left="720"/>
      </w:pPr>
      <w:r>
        <w:t>“Whoever, when the United States is at war, …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14:paraId="03869EC6" w14:textId="77777777" w:rsidR="00E12D32" w:rsidRPr="002D2DBF" w:rsidRDefault="00E12D32" w:rsidP="00F52825">
      <w:pPr>
        <w:pStyle w:val="Subhead2sl"/>
        <w:spacing w:line="276" w:lineRule="auto"/>
      </w:pPr>
      <w:r>
        <w:t>Arguments for Schenck (petitioner)</w:t>
      </w:r>
    </w:p>
    <w:p w14:paraId="5E85D224" w14:textId="77777777" w:rsidR="00E12D32" w:rsidRPr="00B81D80" w:rsidRDefault="00E12D32" w:rsidP="00F52825">
      <w:pPr>
        <w:pStyle w:val="Bulletsl"/>
        <w:spacing w:line="276" w:lineRule="auto"/>
        <w:rPr>
          <w:b/>
          <w:bCs/>
          <w:i/>
          <w:iCs/>
        </w:rPr>
      </w:pPr>
      <w:r>
        <w:t>The First Amendment not only prevents Congress from prohibiting criticism of government action, it also protects the speaker from punishment after the expression.</w:t>
      </w:r>
    </w:p>
    <w:p w14:paraId="4EDBA278" w14:textId="77777777" w:rsidR="00E12D32" w:rsidRDefault="00E12D32" w:rsidP="00F52825">
      <w:pPr>
        <w:pStyle w:val="Bulletsl"/>
        <w:spacing w:line="276" w:lineRule="auto"/>
        <w:rPr>
          <w:b/>
          <w:i/>
        </w:rPr>
      </w:pPr>
      <w:r w:rsidRPr="00B81D80">
        <w:t>The First Amendment must protect the free discussion of public matters</w:t>
      </w:r>
      <w:r>
        <w:t>. This practice helps hold government officials accountable and promotes transparency. Schenck was simply sharing his opinions about important government actions and policies.</w:t>
      </w:r>
    </w:p>
    <w:p w14:paraId="5AF4A4F1" w14:textId="77777777" w:rsidR="00E12D32" w:rsidRPr="00195DBB" w:rsidRDefault="00E12D32" w:rsidP="00F52825">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14:paraId="76689919" w14:textId="77777777" w:rsidR="00E12D32" w:rsidRPr="00B81D80" w:rsidRDefault="00E12D32" w:rsidP="00F52825">
      <w:pPr>
        <w:pStyle w:val="Bulletsl"/>
        <w:spacing w:line="276" w:lineRule="auto"/>
      </w:pPr>
      <w:r w:rsidRPr="00DC6CB7">
        <w:t>Schen</w:t>
      </w:r>
      <w:r>
        <w:t>c</w:t>
      </w:r>
      <w:r w:rsidRPr="00DC6CB7">
        <w:t xml:space="preserve">k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14:paraId="25C65556" w14:textId="77777777" w:rsidR="00E12D32" w:rsidRPr="002D2DBF" w:rsidRDefault="00E12D32" w:rsidP="00F52825">
      <w:pPr>
        <w:pStyle w:val="Subhead2sl"/>
        <w:keepNext/>
        <w:spacing w:line="276" w:lineRule="auto"/>
        <w:rPr>
          <w:rStyle w:val="Subhead2slChar"/>
          <w:b/>
          <w:bCs/>
          <w:i/>
          <w:iCs/>
        </w:rPr>
      </w:pPr>
      <w:r>
        <w:lastRenderedPageBreak/>
        <w:t>Arguments for the United States (respondent)</w:t>
      </w:r>
    </w:p>
    <w:p w14:paraId="44C48475" w14:textId="77777777" w:rsidR="00E12D32" w:rsidRPr="002D2DBF" w:rsidRDefault="00E12D32" w:rsidP="00F52825">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14:paraId="421A4988" w14:textId="77777777" w:rsidR="00E12D32" w:rsidRPr="002D2DBF" w:rsidRDefault="00E12D32" w:rsidP="00F52825">
      <w:pPr>
        <w:pStyle w:val="Bulletsl"/>
        <w:spacing w:line="276" w:lineRule="auto"/>
        <w:rPr>
          <w:rStyle w:val="Subhead2slChar"/>
          <w:i w:val="0"/>
        </w:rPr>
      </w:pPr>
      <w:r w:rsidRPr="002D2DBF">
        <w:rPr>
          <w:rStyle w:val="Subhead2slChar"/>
          <w:rFonts w:ascii="Garamond" w:hAnsi="Garamond"/>
          <w:b w:val="0"/>
          <w:i w:val="0"/>
        </w:rPr>
        <w:t xml:space="preserve">In distributing the flier, Schenck and Baer possessed a clear intent to persuade others to not enlist. That is a violation of the Espionage Act, which prohibits “willfully…obstruct[ing] the recruiting or enlistment service of the United States.” </w:t>
      </w:r>
    </w:p>
    <w:p w14:paraId="0583B5C2" w14:textId="77777777" w:rsidR="00E12D32" w:rsidRPr="002D2DBF" w:rsidRDefault="00E12D32" w:rsidP="00F52825">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14:paraId="28E094AA" w14:textId="77777777" w:rsidR="00E12D32" w:rsidRPr="002D2DBF" w:rsidRDefault="00E12D32" w:rsidP="00F52825">
      <w:pPr>
        <w:pStyle w:val="Subhead2sl"/>
        <w:spacing w:line="276" w:lineRule="auto"/>
        <w:rPr>
          <w:rStyle w:val="Subhead2slChar"/>
          <w:b/>
          <w:i/>
        </w:rPr>
      </w:pPr>
      <w:r w:rsidRPr="002D2DBF">
        <w:rPr>
          <w:rStyle w:val="Subhead2slChar"/>
          <w:b/>
          <w:i/>
        </w:rPr>
        <w:t>Decision</w:t>
      </w:r>
    </w:p>
    <w:p w14:paraId="4AB418A5" w14:textId="77777777" w:rsidR="00E12D32" w:rsidRPr="00666CB9" w:rsidRDefault="00E12D32" w:rsidP="00F52825">
      <w:pPr>
        <w:pStyle w:val="Basiccopysl"/>
      </w:pPr>
      <w:r>
        <w:t xml:space="preserve">Justice Oliver Wendell Holmes delivered the unanimous opinion (9-0) for the Court in favor of the United States, joined by Chief Justice White and Justices McKenna, Day, van Devanter, Pitney, McReynolds, Brandeis, and Clarke. </w:t>
      </w:r>
    </w:p>
    <w:p w14:paraId="7A225871" w14:textId="77777777" w:rsidR="00E12D32" w:rsidRPr="00B81D80" w:rsidRDefault="00E12D32" w:rsidP="00F52825">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14:paraId="12A7D37A" w14:textId="77777777" w:rsidR="00E12D32" w:rsidRPr="00B81D80" w:rsidRDefault="00E12D32" w:rsidP="00F52825">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14:paraId="4B689C80" w14:textId="77777777" w:rsidR="00E12D32" w:rsidRDefault="00E12D32" w:rsidP="00F52825">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14:paraId="0748C8A6" w14:textId="77777777" w:rsidR="00E12D32" w:rsidRPr="007B0FB3" w:rsidRDefault="00E12D32" w:rsidP="00F52825">
      <w:pPr>
        <w:pStyle w:val="Subhead2sl"/>
        <w:spacing w:line="276" w:lineRule="auto"/>
      </w:pPr>
      <w:r>
        <w:t xml:space="preserve">Impact </w:t>
      </w:r>
    </w:p>
    <w:p w14:paraId="0E463C3C" w14:textId="77777777" w:rsidR="00E12D32" w:rsidRDefault="00E12D32" w:rsidP="00F52825">
      <w:pPr>
        <w:spacing w:after="120" w:line="276" w:lineRule="auto"/>
      </w:pPr>
      <w:r w:rsidRPr="004F6762">
        <w:rPr>
          <w:i/>
          <w:iCs/>
          <w:sz w:val="25"/>
          <w:szCs w:val="25"/>
        </w:rPr>
        <w:t>Schenck</w:t>
      </w:r>
      <w:r w:rsidRPr="004F6762">
        <w:rPr>
          <w:sz w:val="25"/>
          <w:szCs w:val="25"/>
        </w:rPr>
        <w:t> fashioned a new and important rule. It allowed Congress to authorize the punishment of speech based on both its content and viewpoint. The “clear and present danger” test provided the framework for future cases brought against independent and spirited speakers under both the Espionage Act and</w:t>
      </w:r>
      <w:r>
        <w:rPr>
          <w:sz w:val="25"/>
          <w:szCs w:val="25"/>
        </w:rPr>
        <w:t xml:space="preserve"> </w:t>
      </w:r>
      <w:r w:rsidRPr="00D967A3">
        <w:rPr>
          <w:sz w:val="25"/>
          <w:szCs w:val="25"/>
        </w:rPr>
        <w:t xml:space="preserve">similar state laws. Under the “clear and present danger” test, the </w:t>
      </w:r>
      <w:r w:rsidRPr="00D967A3">
        <w:rPr>
          <w:sz w:val="25"/>
          <w:szCs w:val="25"/>
        </w:rPr>
        <w:lastRenderedPageBreak/>
        <w:t>government typically won</w:t>
      </w:r>
      <w:r>
        <w:rPr>
          <w:sz w:val="25"/>
          <w:szCs w:val="25"/>
        </w:rPr>
        <w:t>,</w:t>
      </w:r>
      <w:r w:rsidRPr="00D967A3">
        <w:rPr>
          <w:sz w:val="25"/>
          <w:szCs w:val="25"/>
        </w:rPr>
        <w:t xml:space="preserve"> and the speake</w:t>
      </w:r>
      <w:r w:rsidRPr="004F6762">
        <w:rPr>
          <w:sz w:val="25"/>
          <w:szCs w:val="25"/>
        </w:rPr>
        <w:t xml:space="preserve">rs almost always lost. </w:t>
      </w:r>
      <w:r>
        <w:t xml:space="preserve">In later cases Justice Holmes argued that the best way to counteract “bad” speech was through more and better speech. He called this the “marketplace of ideas” rationale for freedom of speech, explaining that free debate was essential to a democratic society. </w:t>
      </w:r>
    </w:p>
    <w:p w14:paraId="3781788E" w14:textId="77777777" w:rsidR="00E12D32" w:rsidRDefault="00E12D32" w:rsidP="00F52825">
      <w:pPr>
        <w:pStyle w:val="Basiccopysl"/>
        <w:spacing w:after="480"/>
        <w:rPr>
          <w:rFonts w:cs="Arial"/>
          <w:color w:val="222222"/>
          <w:shd w:val="clear" w:color="auto" w:fill="FFFFFF"/>
        </w:rPr>
      </w:pPr>
      <w:r>
        <w:t xml:space="preserve">The Court moved away from the “clear and present danger” test in a 1969 case called </w:t>
      </w:r>
      <w:r w:rsidRPr="62FF543F">
        <w:rPr>
          <w:i/>
          <w:iCs/>
        </w:rPr>
        <w:t>Brandenburg v. Ohio</w:t>
      </w:r>
      <w:r>
        <w:t xml:space="preserve">, which involved a Ku Klux Klan member who gave a speech that was derogatory towards African Americans and Jewish people while burning a cross in an open field. </w:t>
      </w:r>
      <w:r w:rsidRPr="004F6762">
        <w:rPr>
          <w:sz w:val="25"/>
          <w:szCs w:val="25"/>
        </w:rPr>
        <w:t>In particular, </w:t>
      </w:r>
      <w:r w:rsidRPr="004F6762">
        <w:rPr>
          <w:i/>
          <w:iCs/>
          <w:sz w:val="25"/>
          <w:szCs w:val="25"/>
        </w:rPr>
        <w:t>Brandenburg v. Ohio</w:t>
      </w:r>
      <w:r w:rsidRPr="004F6762">
        <w:rPr>
          <w:sz w:val="25"/>
          <w:szCs w:val="25"/>
        </w:rPr>
        <w:t xml:space="preserve"> fashioned the rule that now governs any action against a speaker for </w:t>
      </w:r>
      <w:r>
        <w:rPr>
          <w:sz w:val="25"/>
          <w:szCs w:val="25"/>
        </w:rPr>
        <w:t>their</w:t>
      </w:r>
      <w:r w:rsidRPr="004F6762">
        <w:rPr>
          <w:sz w:val="25"/>
          <w:szCs w:val="25"/>
        </w:rPr>
        <w:t xml:space="preserve"> speech, requiring that the statements in question be 1) “directed at inciting or producing imminent lawless action” and 2) “likely to incite or produce such action.”</w:t>
      </w:r>
      <w:r>
        <w:t xml:space="preserve"> </w:t>
      </w:r>
      <w:r w:rsidRPr="62FF543F">
        <w:rPr>
          <w:rFonts w:cs="Arial"/>
          <w:color w:val="222222"/>
          <w:shd w:val="clear" w:color="auto" w:fill="FFFFFF"/>
        </w:rPr>
        <w:t xml:space="preserve">This and later rulings were more protective of </w:t>
      </w:r>
      <w:bookmarkStart w:id="17" w:name="_Hlk44360041"/>
      <w:r w:rsidRPr="62FF543F">
        <w:rPr>
          <w:rFonts w:cs="Arial"/>
          <w:color w:val="222222"/>
          <w:shd w:val="clear" w:color="auto" w:fill="FFFFFF"/>
        </w:rPr>
        <w:t xml:space="preserve">free speech rights than the “clear and present danger” test established in </w:t>
      </w:r>
      <w:r w:rsidRPr="62FF543F">
        <w:rPr>
          <w:rFonts w:cs="Arial"/>
          <w:i/>
          <w:iCs/>
          <w:color w:val="222222"/>
          <w:shd w:val="clear" w:color="auto" w:fill="FFFFFF"/>
        </w:rPr>
        <w:t>Schenck</w:t>
      </w:r>
      <w:r w:rsidRPr="62FF543F">
        <w:rPr>
          <w:rFonts w:cs="Arial"/>
          <w:color w:val="222222"/>
          <w:shd w:val="clear" w:color="auto" w:fill="FFFFFF"/>
        </w:rPr>
        <w:t>.</w:t>
      </w:r>
    </w:p>
    <w:tbl>
      <w:tblPr>
        <w:tblStyle w:val="TableGrid"/>
        <w:tblW w:w="0" w:type="auto"/>
        <w:tblLook w:val="04A0" w:firstRow="1" w:lastRow="0" w:firstColumn="1" w:lastColumn="0" w:noHBand="0" w:noVBand="1"/>
      </w:tblPr>
      <w:tblGrid>
        <w:gridCol w:w="9350"/>
      </w:tblGrid>
      <w:tr w:rsidR="00E12D32" w14:paraId="35E287B9" w14:textId="77777777" w:rsidTr="00E12D32">
        <w:tc>
          <w:tcPr>
            <w:tcW w:w="9350" w:type="dxa"/>
            <w:shd w:val="clear" w:color="auto" w:fill="F2F2F2" w:themeFill="background1" w:themeFillShade="F2"/>
          </w:tcPr>
          <w:p w14:paraId="7CFAA03F" w14:textId="77777777" w:rsidR="00E12D32" w:rsidRDefault="00E12D32" w:rsidP="00F52825">
            <w:pPr>
              <w:pStyle w:val="Basiccopysl"/>
              <w:spacing w:before="120"/>
              <w:rPr>
                <w:rFonts w:cs="Arial"/>
                <w:iCs/>
                <w:color w:val="222222"/>
                <w:shd w:val="clear" w:color="auto" w:fill="FFFFFF"/>
              </w:rPr>
            </w:pPr>
            <w:r>
              <w:t xml:space="preserve">Additional information about </w:t>
            </w:r>
            <w:r w:rsidRPr="008906FE">
              <w:rPr>
                <w:i/>
                <w:iCs/>
              </w:rPr>
              <w:t>Schenck v. United States</w:t>
            </w:r>
            <w:r w:rsidRPr="00813AF7">
              <w:rPr>
                <w:i/>
                <w:iCs/>
              </w:rPr>
              <w:t>,</w:t>
            </w:r>
            <w:r>
              <w:t xml:space="preserve"> including background at three reading levels, opinion quotes and summaries, teaching activities, and additional resources, can be found at </w:t>
            </w:r>
            <w:hyperlink r:id="rId55" w:history="1">
              <w:r w:rsidRPr="00E73DD3">
                <w:rPr>
                  <w:rStyle w:val="Hyperlink"/>
                  <w:color w:val="auto"/>
                </w:rPr>
                <w:t>https://www.landmarkcases.org/</w:t>
              </w:r>
            </w:hyperlink>
            <w:r w:rsidRPr="00E73DD3">
              <w:t>.</w:t>
            </w:r>
          </w:p>
        </w:tc>
      </w:tr>
      <w:bookmarkEnd w:id="17"/>
    </w:tbl>
    <w:p w14:paraId="4E7DA158" w14:textId="77777777" w:rsidR="00E12D32" w:rsidRPr="00393BB6" w:rsidRDefault="00E12D32" w:rsidP="00F52825">
      <w:pPr>
        <w:pStyle w:val="Basiccopysl"/>
        <w:rPr>
          <w:rFonts w:cs="Arial"/>
          <w:color w:val="222222"/>
        </w:rPr>
      </w:pPr>
    </w:p>
    <w:p w14:paraId="53AA236E" w14:textId="77777777" w:rsidR="00E12D32" w:rsidRDefault="00E12D32" w:rsidP="00F52825">
      <w:pPr>
        <w:pStyle w:val="Heading1"/>
        <w:spacing w:line="276" w:lineRule="auto"/>
        <w:sectPr w:rsidR="00E12D32" w:rsidSect="00F42CDF">
          <w:headerReference w:type="default" r:id="rId56"/>
          <w:footerReference w:type="default" r:id="rId57"/>
          <w:headerReference w:type="first" r:id="rId58"/>
          <w:footerReference w:type="first" r:id="rId59"/>
          <w:footnotePr>
            <w:numFmt w:val="chicago"/>
          </w:footnotePr>
          <w:pgSz w:w="12240" w:h="15840"/>
          <w:pgMar w:top="1440" w:right="1440" w:bottom="1440" w:left="1440" w:header="720" w:footer="720" w:gutter="0"/>
          <w:cols w:space="720"/>
          <w:titlePg/>
          <w:docGrid w:linePitch="360"/>
        </w:sectPr>
      </w:pPr>
    </w:p>
    <w:p w14:paraId="397E56AB" w14:textId="77777777" w:rsidR="00F52825" w:rsidRPr="00810E29" w:rsidRDefault="00F52825" w:rsidP="00F52825">
      <w:pPr>
        <w:spacing w:after="0"/>
        <w:rPr>
          <w:sz w:val="12"/>
          <w:szCs w:val="10"/>
        </w:rPr>
      </w:pPr>
    </w:p>
    <w:p w14:paraId="087DD001" w14:textId="4F9DF5B0" w:rsidR="00E12D32" w:rsidRPr="008F2827" w:rsidRDefault="00E12D32" w:rsidP="00CC30C5">
      <w:pPr>
        <w:pStyle w:val="Heading1"/>
      </w:pPr>
      <w:bookmarkStart w:id="18" w:name="_Toc80619881"/>
      <w:r w:rsidRPr="008F2827">
        <w:t>Shaw v. Reno</w:t>
      </w:r>
      <w:r>
        <w:t xml:space="preserve"> </w:t>
      </w:r>
      <w:r w:rsidRPr="00CC30C5">
        <w:rPr>
          <w:i w:val="0"/>
          <w:iCs w:val="0"/>
        </w:rPr>
        <w:t>(1993)</w:t>
      </w:r>
      <w:bookmarkEnd w:id="18"/>
    </w:p>
    <w:p w14:paraId="5DA159F4" w14:textId="77777777" w:rsidR="00E12D32" w:rsidRDefault="00E12D32" w:rsidP="00F52825">
      <w:pPr>
        <w:pStyle w:val="Basiccopycenteredsl"/>
        <w:spacing w:line="276" w:lineRule="auto"/>
        <w:rPr>
          <w:b w:val="0"/>
        </w:rPr>
      </w:pPr>
      <w:r>
        <w:t xml:space="preserve">Argued: </w:t>
      </w:r>
      <w:r>
        <w:rPr>
          <w:b w:val="0"/>
        </w:rPr>
        <w:t>April 20, 1993</w:t>
      </w:r>
    </w:p>
    <w:p w14:paraId="1204CA33" w14:textId="77777777" w:rsidR="00E12D32" w:rsidRPr="00DE2BBC" w:rsidRDefault="00E12D32" w:rsidP="00F52825">
      <w:pPr>
        <w:pStyle w:val="Basiccopycenteredsl"/>
        <w:spacing w:line="276" w:lineRule="auto"/>
        <w:rPr>
          <w:b w:val="0"/>
        </w:rPr>
      </w:pPr>
      <w:r w:rsidRPr="00F41E93">
        <w:t>Decided</w:t>
      </w:r>
      <w:r>
        <w:rPr>
          <w:b w:val="0"/>
        </w:rPr>
        <w:t>: June 28, 1993</w:t>
      </w:r>
    </w:p>
    <w:p w14:paraId="5CCDB0DC" w14:textId="77777777" w:rsidR="00E12D32" w:rsidRPr="00163850" w:rsidRDefault="00E12D32" w:rsidP="00F52825">
      <w:pPr>
        <w:pStyle w:val="Subhead2sl"/>
        <w:spacing w:line="276" w:lineRule="auto"/>
      </w:pPr>
      <w:r>
        <w:t>Background</w:t>
      </w:r>
    </w:p>
    <w:p w14:paraId="5A06D9D0" w14:textId="3C97C09D" w:rsidR="00E12D32" w:rsidRDefault="00E12D32" w:rsidP="00F52825">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w:t>
      </w:r>
      <w:r w:rsidR="007052C4">
        <w:t xml:space="preserve"> </w:t>
      </w:r>
      <w:r>
        <w:t xml:space="preserve">American men the right to vote. Soon thereafter, state governments, primarily in the </w:t>
      </w:r>
      <w:r w:rsidR="00496A00">
        <w:t>South</w:t>
      </w:r>
      <w:r>
        <w:t xml:space="preserve">, institutionalized </w:t>
      </w:r>
      <w:r w:rsidR="007052C4">
        <w:t>“B</w:t>
      </w:r>
      <w:r>
        <w:t xml:space="preserve">lack </w:t>
      </w:r>
      <w:r w:rsidR="007052C4">
        <w:t>C</w:t>
      </w:r>
      <w:r>
        <w:t>odes</w:t>
      </w:r>
      <w:r w:rsidR="007052C4">
        <w:t>”</w:t>
      </w:r>
      <w:r>
        <w:t xml:space="preserve"> and Jim Crow laws to prevent former</w:t>
      </w:r>
      <w:r w:rsidR="00496A00">
        <w:t xml:space="preserve">ly enslaved people </w:t>
      </w:r>
      <w:r>
        <w:t xml:space="preserve">from voting. Poll taxes, literacy tests, and felon disenfranchisement were among the practices commonly used to suppress </w:t>
      </w:r>
      <w:r w:rsidR="00496A00">
        <w:t xml:space="preserve">African American </w:t>
      </w:r>
      <w:r>
        <w:t xml:space="preserve">voting. </w:t>
      </w:r>
    </w:p>
    <w:p w14:paraId="53DEDDFF" w14:textId="6B37C152" w:rsidR="00E12D32" w:rsidRDefault="00E12D32" w:rsidP="00F52825">
      <w:pPr>
        <w:pStyle w:val="Basiccopysl"/>
      </w:pPr>
      <w:r>
        <w:t>In order to prevent states from suppressing the right of African</w:t>
      </w:r>
      <w:r w:rsidR="007052C4">
        <w:t xml:space="preserve"> </w:t>
      </w:r>
      <w:r>
        <w:t xml:space="preserve">Americans and other </w:t>
      </w:r>
      <w:r w:rsidR="007052C4">
        <w:t xml:space="preserve">racial </w:t>
      </w:r>
      <w:r>
        <w:t xml:space="preserve">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14:paraId="27F76CE2" w14:textId="2452E738" w:rsidR="00E12D32" w:rsidRDefault="00E12D32" w:rsidP="00F52825">
      <w:pPr>
        <w:pStyle w:val="Basiccopysl"/>
      </w:pPr>
      <w:r>
        <w:t xml:space="preserve">In </w:t>
      </w:r>
      <w:r w:rsidRPr="00B444BC">
        <w:rPr>
          <w:i/>
        </w:rPr>
        <w:t>Thornburg v. Gingles</w:t>
      </w:r>
      <w:r>
        <w:t xml:space="preserve"> (1986), the Supreme Court ruled that if voting is racially polarized, and if a </w:t>
      </w:r>
      <w:r w:rsidR="00496A00">
        <w:t xml:space="preserve">racial </w:t>
      </w:r>
      <w:r>
        <w:t xml:space="preserve">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14:paraId="5A18ED7F" w14:textId="77777777" w:rsidR="00E12D32" w:rsidRPr="00163850" w:rsidRDefault="00E12D32" w:rsidP="00F52825">
      <w:pPr>
        <w:pStyle w:val="Subhead2sl"/>
        <w:spacing w:line="276" w:lineRule="auto"/>
      </w:pPr>
      <w:r w:rsidRPr="00163850">
        <w:t xml:space="preserve">Facts </w:t>
      </w:r>
    </w:p>
    <w:p w14:paraId="095C0159" w14:textId="206E8169" w:rsidR="00E12D32" w:rsidRDefault="00E12D32" w:rsidP="00F52825">
      <w:pPr>
        <w:pStyle w:val="Basiccopysl"/>
      </w:pPr>
      <w:r>
        <w:t>Between 1865 and 1993</w:t>
      </w:r>
      <w:r w:rsidRPr="00163850">
        <w:t>, the state of North Carolina</w:t>
      </w:r>
      <w:r>
        <w:t xml:space="preserve"> elected only seven African</w:t>
      </w:r>
      <w:r w:rsidR="007052C4">
        <w:t xml:space="preserve"> </w:t>
      </w:r>
      <w:r>
        <w:t xml:space="preserve">Americans to the U.S. House of Representatives. In 1990, none of the state’s 11 members of Congress were </w:t>
      </w:r>
      <w:r w:rsidR="007052C4">
        <w:t>B</w:t>
      </w:r>
      <w:r>
        <w:t>lack, while 20% of the state’s population was. After the 1990 census, the state gained a 12</w:t>
      </w:r>
      <w:r w:rsidRPr="00C41815">
        <w:rPr>
          <w:vertAlign w:val="superscript"/>
        </w:rPr>
        <w:t>th</w:t>
      </w:r>
      <w:r>
        <w:t xml:space="preserve"> Congressional seat, and the state legislature tried to ensure the election of an African</w:t>
      </w:r>
      <w:r w:rsidR="007052C4">
        <w:t xml:space="preserve"> </w:t>
      </w:r>
      <w:r>
        <w:t>American representative through the creation of a legislative district that would be majority African</w:t>
      </w:r>
      <w:r w:rsidR="007052C4">
        <w:t xml:space="preserve"> </w:t>
      </w:r>
      <w:r>
        <w:t xml:space="preserve">American. </w:t>
      </w:r>
      <w:r w:rsidR="00496A00">
        <w:t xml:space="preserve">Of </w:t>
      </w:r>
      <w:r>
        <w:t xml:space="preserve">North Carolina’s </w:t>
      </w:r>
      <w:r w:rsidR="00496A00">
        <w:t xml:space="preserve">100 </w:t>
      </w:r>
      <w:r>
        <w:t>counties</w:t>
      </w:r>
      <w:r w:rsidR="00496A00">
        <w:t>, 40</w:t>
      </w:r>
      <w:r>
        <w:t xml:space="preserve"> were covered by the </w:t>
      </w:r>
      <w:r w:rsidRPr="00E86AAB">
        <w:t>Voting Rights Act</w:t>
      </w:r>
      <w:r>
        <w:t xml:space="preserve"> requirement that redistricting </w:t>
      </w:r>
      <w:r>
        <w:lastRenderedPageBreak/>
        <w:t xml:space="preserve">plans be pre-cleared by the federal government, so the state submitted its plans to the U.S. Department of Justice. The attorney general rejected the North Carolina state legislature’s first redistricting plan because it created only one majority-minority district. The Department of Justice said that a second majority-minority district could also be created. </w:t>
      </w:r>
    </w:p>
    <w:p w14:paraId="29AC6F80" w14:textId="41164D2B" w:rsidR="00E12D32" w:rsidRPr="00842CA0" w:rsidRDefault="00E12D32" w:rsidP="00F52825">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w:t>
      </w:r>
      <w:r w:rsidR="00475BBA">
        <w:rPr>
          <w:rFonts w:eastAsia="Times New Roman" w:cs="Times New Roman"/>
          <w:shd w:val="clear" w:color="auto" w:fill="FFFFFF"/>
        </w:rPr>
        <w:t>—an African American—</w:t>
      </w:r>
      <w:r w:rsidRPr="00B444BC">
        <w:rPr>
          <w:rFonts w:eastAsia="Times New Roman" w:cs="Times New Roman"/>
          <w:shd w:val="clear" w:color="auto" w:fill="FFFFFF"/>
        </w:rPr>
        <w:t>won the 12th district.</w:t>
      </w:r>
    </w:p>
    <w:p w14:paraId="573E55DE" w14:textId="13DFB4EE" w:rsidR="00E12D32" w:rsidRDefault="00475BBA" w:rsidP="00F52825">
      <w:pPr>
        <w:pStyle w:val="Basiccopysl"/>
      </w:pPr>
      <w:r>
        <w:t xml:space="preserve">A group of </w:t>
      </w:r>
      <w:r w:rsidR="00E12D32">
        <w:t xml:space="preserve">voters filed a lawsuit against both state and federal officials in the </w:t>
      </w:r>
      <w:r w:rsidR="00E12D32" w:rsidRPr="00E86AAB">
        <w:t>U</w:t>
      </w:r>
      <w:r w:rsidR="00E12D32">
        <w:t>.</w:t>
      </w:r>
      <w:r w:rsidR="00E12D32" w:rsidRPr="00E86AAB">
        <w:t>S</w:t>
      </w:r>
      <w:r w:rsidR="00E12D32">
        <w:t xml:space="preserve">. </w:t>
      </w:r>
      <w:r w:rsidR="00E12D32" w:rsidRPr="00E86AAB">
        <w:t>District Court for the Eas</w:t>
      </w:r>
      <w:r w:rsidR="00E12D32">
        <w:t>tern District of North Carolina. They argued that District 12 violated the 14</w:t>
      </w:r>
      <w:r w:rsidR="00E12D32" w:rsidRPr="007A181D">
        <w:rPr>
          <w:vertAlign w:val="superscript"/>
        </w:rPr>
        <w:t>th</w:t>
      </w:r>
      <w:r w:rsidR="00E12D32">
        <w:t xml:space="preserve"> Amendment’s Equal Protection Clause because it was motivated by racial discrimination and resulted in a district drawn almost entirely on racial lines, with the sole purpose of electing </w:t>
      </w:r>
      <w:r w:rsidR="007052C4">
        <w:t>B</w:t>
      </w:r>
      <w:r w:rsidR="00E12D32">
        <w:t xml:space="preserve">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14:paraId="0D7113B9" w14:textId="77777777" w:rsidR="00E12D32" w:rsidRPr="00163850" w:rsidRDefault="00E12D32" w:rsidP="00F52825">
      <w:pPr>
        <w:pStyle w:val="Subhead2sl"/>
        <w:spacing w:line="276" w:lineRule="auto"/>
      </w:pPr>
      <w:r w:rsidRPr="00163850">
        <w:t>Issue</w:t>
      </w:r>
    </w:p>
    <w:p w14:paraId="460E4D2A" w14:textId="77777777" w:rsidR="00E12D32" w:rsidRPr="00163850" w:rsidRDefault="00E12D32" w:rsidP="00F52825">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14:paraId="2DB31D80" w14:textId="77777777" w:rsidR="00E12D32" w:rsidRPr="00163850" w:rsidRDefault="00E12D32" w:rsidP="00F52825">
      <w:pPr>
        <w:pStyle w:val="Subhead2sl"/>
        <w:spacing w:line="276" w:lineRule="auto"/>
      </w:pPr>
      <w:r w:rsidRPr="00163850">
        <w:t xml:space="preserve">Constitutional Amendments and </w:t>
      </w:r>
      <w:r>
        <w:t xml:space="preserve">Supreme Court </w:t>
      </w:r>
      <w:r w:rsidRPr="00163850">
        <w:t>Precedents</w:t>
      </w:r>
    </w:p>
    <w:p w14:paraId="4B7F77CA" w14:textId="77777777" w:rsidR="00E12D32" w:rsidRPr="008F2827" w:rsidRDefault="00E12D32" w:rsidP="00F52825">
      <w:pPr>
        <w:pStyle w:val="Bulletsl"/>
        <w:spacing w:before="240" w:line="276" w:lineRule="auto"/>
        <w:rPr>
          <w:b/>
        </w:rPr>
      </w:pPr>
      <w:r w:rsidRPr="008F2827">
        <w:rPr>
          <w:b/>
        </w:rPr>
        <w:t>14</w:t>
      </w:r>
      <w:r w:rsidRPr="008F2827">
        <w:rPr>
          <w:b/>
          <w:vertAlign w:val="superscript"/>
        </w:rPr>
        <w:t>th</w:t>
      </w:r>
      <w:r w:rsidRPr="008F2827">
        <w:rPr>
          <w:b/>
        </w:rPr>
        <w:t xml:space="preserve"> Amendment to the U.S. Constitution</w:t>
      </w:r>
    </w:p>
    <w:p w14:paraId="74235460" w14:textId="77777777" w:rsidR="00E12D32" w:rsidRDefault="00E12D32" w:rsidP="00F52825">
      <w:pPr>
        <w:pStyle w:val="Bulletsl"/>
        <w:numPr>
          <w:ilvl w:val="0"/>
          <w:numId w:val="0"/>
        </w:numPr>
        <w:spacing w:line="276" w:lineRule="auto"/>
        <w:ind w:left="720"/>
        <w:rPr>
          <w:shd w:val="clear" w:color="auto" w:fill="FFFFFF"/>
        </w:rPr>
      </w:pPr>
      <w:r>
        <w:rPr>
          <w:shd w:val="clear" w:color="auto" w:fill="FFFFFF"/>
        </w:rPr>
        <w:t>“Nor shall any state…deny to any person within its jurisdiction the equal protection of the laws.”</w:t>
      </w:r>
    </w:p>
    <w:p w14:paraId="0A68D878" w14:textId="77777777" w:rsidR="00E12D32" w:rsidRPr="008F2827" w:rsidRDefault="00E12D32" w:rsidP="00F52825">
      <w:pPr>
        <w:pStyle w:val="Bulletsl"/>
        <w:spacing w:before="240" w:line="276" w:lineRule="auto"/>
        <w:rPr>
          <w:b/>
        </w:rPr>
      </w:pPr>
      <w:r w:rsidRPr="008F2827">
        <w:rPr>
          <w:b/>
        </w:rPr>
        <w:t>15</w:t>
      </w:r>
      <w:r w:rsidRPr="00144A75">
        <w:rPr>
          <w:b/>
          <w:vertAlign w:val="superscript"/>
        </w:rPr>
        <w:t>th</w:t>
      </w:r>
      <w:r w:rsidRPr="008F2827">
        <w:rPr>
          <w:b/>
        </w:rPr>
        <w:t xml:space="preserve"> Amendment to the U.S. Constitution</w:t>
      </w:r>
    </w:p>
    <w:p w14:paraId="73453527" w14:textId="77777777" w:rsidR="00E12D32" w:rsidRPr="008F2827" w:rsidRDefault="00E12D32" w:rsidP="00F52825">
      <w:pPr>
        <w:pStyle w:val="Bulletsl"/>
        <w:numPr>
          <w:ilvl w:val="0"/>
          <w:numId w:val="0"/>
        </w:numPr>
        <w:spacing w:line="276" w:lineRule="auto"/>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14:paraId="411516E6" w14:textId="77777777" w:rsidR="00E12D32" w:rsidRPr="008906FE" w:rsidRDefault="00E12D32" w:rsidP="00F52825">
      <w:pPr>
        <w:pStyle w:val="Bulletsl"/>
        <w:spacing w:before="240" w:line="276" w:lineRule="auto"/>
      </w:pPr>
      <w:r w:rsidRPr="008906FE">
        <w:rPr>
          <w:i/>
          <w:iCs/>
        </w:rPr>
        <w:t>Gomillion v. Lightfoot</w:t>
      </w:r>
      <w:r w:rsidRPr="008906FE">
        <w:t xml:space="preserve"> (1960)</w:t>
      </w:r>
    </w:p>
    <w:p w14:paraId="611C4799" w14:textId="4040EF93" w:rsidR="00E12D32" w:rsidRPr="008F2827" w:rsidRDefault="00E12D32" w:rsidP="00F52825">
      <w:pPr>
        <w:pStyle w:val="Bulletsl"/>
        <w:numPr>
          <w:ilvl w:val="0"/>
          <w:numId w:val="0"/>
        </w:numPr>
        <w:spacing w:line="276" w:lineRule="auto"/>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 xml:space="preserve">The result of this redistricting was to remove all but four or five of the city’s 400 </w:t>
      </w:r>
      <w:r w:rsidR="007052C4">
        <w:rPr>
          <w:shd w:val="clear" w:color="auto" w:fill="FFFFFF"/>
        </w:rPr>
        <w:t>B</w:t>
      </w:r>
      <w:r w:rsidRPr="008F2827">
        <w:rPr>
          <w:shd w:val="clear" w:color="auto" w:fill="FFFFFF"/>
        </w:rPr>
        <w:t xml:space="preserve">lack voters from its boundaries, while removing no </w:t>
      </w:r>
      <w:r w:rsidR="007052C4">
        <w:rPr>
          <w:shd w:val="clear" w:color="auto" w:fill="FFFFFF"/>
        </w:rPr>
        <w:t>W</w:t>
      </w:r>
      <w:r w:rsidRPr="008F2827">
        <w:rPr>
          <w:shd w:val="clear" w:color="auto" w:fill="FFFFFF"/>
        </w:rPr>
        <w:t xml:space="preserve">hite voters or residents. The </w:t>
      </w:r>
      <w:r w:rsidR="007052C4">
        <w:rPr>
          <w:shd w:val="clear" w:color="auto" w:fill="FFFFFF"/>
        </w:rPr>
        <w:t>B</w:t>
      </w:r>
      <w:r w:rsidRPr="008F2827">
        <w:rPr>
          <w:shd w:val="clear" w:color="auto" w:fill="FFFFFF"/>
        </w:rPr>
        <w:t>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 xml:space="preserve">The U.S. </w:t>
      </w:r>
      <w:r w:rsidRPr="008F2827">
        <w:rPr>
          <w:shd w:val="clear" w:color="auto" w:fill="FFFFFF"/>
        </w:rPr>
        <w:lastRenderedPageBreak/>
        <w:t xml:space="preserve">Supreme Court reversed. The Court found it difficult to explain the bizarrely shaped district as anything other than an effort to segregate </w:t>
      </w:r>
      <w:r w:rsidR="00C345C1">
        <w:rPr>
          <w:shd w:val="clear" w:color="auto" w:fill="FFFFFF"/>
        </w:rPr>
        <w:t>African American</w:t>
      </w:r>
      <w:r w:rsidRPr="008F2827">
        <w:rPr>
          <w:shd w:val="clear" w:color="auto" w:fill="FFFFFF"/>
        </w:rPr>
        <w:t xml:space="preserve"> voters and deprive them of their right to vote. The Court concluded that courts have the power under the 15</w:t>
      </w:r>
      <w:r w:rsidRPr="00144A75">
        <w:rPr>
          <w:shd w:val="clear" w:color="auto" w:fill="FFFFFF"/>
          <w:vertAlign w:val="superscript"/>
        </w:rPr>
        <w:t>th</w:t>
      </w:r>
      <w:r w:rsidRPr="008F2827">
        <w:rPr>
          <w:shd w:val="clear" w:color="auto" w:fill="FFFFFF"/>
        </w:rPr>
        <w:t xml:space="preserve"> Amendment to invalidate districts that are drawn to abridge the right to vote on the basis of race.</w:t>
      </w:r>
      <w:r>
        <w:rPr>
          <w:shd w:val="clear" w:color="auto" w:fill="FFFFFF"/>
        </w:rPr>
        <w:t xml:space="preserve"> </w:t>
      </w:r>
    </w:p>
    <w:p w14:paraId="14F3B4D1" w14:textId="77777777" w:rsidR="00E12D32" w:rsidRPr="008906FE" w:rsidRDefault="00E12D32" w:rsidP="00F52825">
      <w:pPr>
        <w:pStyle w:val="Bulletsl"/>
        <w:spacing w:before="240" w:line="276" w:lineRule="auto"/>
        <w:rPr>
          <w:bCs/>
          <w:i/>
        </w:rPr>
      </w:pPr>
      <w:r w:rsidRPr="008906FE">
        <w:rPr>
          <w:bCs/>
          <w:i/>
        </w:rPr>
        <w:t xml:space="preserve">United Jewish Organizations of Williamsburgh, Inc. v. Carey </w:t>
      </w:r>
      <w:r w:rsidRPr="008906FE">
        <w:rPr>
          <w:bCs/>
        </w:rPr>
        <w:t>(1977)</w:t>
      </w:r>
    </w:p>
    <w:p w14:paraId="646C6F8B" w14:textId="7E160AD5" w:rsidR="00E12D32" w:rsidRPr="008F2827" w:rsidRDefault="00E12D32" w:rsidP="00F52825">
      <w:pPr>
        <w:pStyle w:val="Bulletsl"/>
        <w:numPr>
          <w:ilvl w:val="0"/>
          <w:numId w:val="0"/>
        </w:numPr>
        <w:spacing w:line="276" w:lineRule="auto"/>
        <w:ind w:left="720"/>
        <w:rPr>
          <w:shd w:val="clear" w:color="auto" w:fill="FFFFFF"/>
        </w:rPr>
      </w:pPr>
      <w:r w:rsidRPr="008F2827">
        <w:rPr>
          <w:shd w:val="clear" w:color="auto" w:fill="FFFFFF"/>
        </w:rPr>
        <w:t>A Hasidic Jewish community in New York was divided into two districts as a result of a reapportionment plan that reorganized several districts to achieve a minimum non</w:t>
      </w:r>
      <w:r w:rsidR="007052C4">
        <w:rPr>
          <w:shd w:val="clear" w:color="auto" w:fill="FFFFFF"/>
        </w:rPr>
        <w:t>-W</w:t>
      </w:r>
      <w:r w:rsidRPr="008F2827">
        <w:rPr>
          <w:shd w:val="clear" w:color="auto" w:fill="FFFFFF"/>
        </w:rPr>
        <w:t>hite representation of 65% in each district. The U.S. Supreme Court upheld the plan, holding that considering race when drawing districts does not necessarily violate the 14</w:t>
      </w:r>
      <w:r w:rsidRPr="00144A75">
        <w:rPr>
          <w:shd w:val="clear" w:color="auto" w:fill="FFFFFF"/>
          <w:vertAlign w:val="superscript"/>
        </w:rPr>
        <w:t>th</w:t>
      </w:r>
      <w:r w:rsidRPr="008F2827">
        <w:rPr>
          <w:shd w:val="clear" w:color="auto" w:fill="FFFFFF"/>
        </w:rPr>
        <w:t xml:space="preserve"> or 15</w:t>
      </w:r>
      <w:r w:rsidRPr="00144A75">
        <w:rPr>
          <w:shd w:val="clear" w:color="auto" w:fill="FFFFFF"/>
          <w:vertAlign w:val="superscript"/>
        </w:rPr>
        <w:t>th</w:t>
      </w:r>
      <w:r w:rsidRPr="008F2827">
        <w:rPr>
          <w:shd w:val="clear" w:color="auto" w:fill="FFFFFF"/>
        </w:rPr>
        <w:t xml:space="preserve"> Amendments. Although New York deliberately increased non</w:t>
      </w:r>
      <w:r w:rsidR="007052C4">
        <w:rPr>
          <w:shd w:val="clear" w:color="auto" w:fill="FFFFFF"/>
        </w:rPr>
        <w:t>-Wh</w:t>
      </w:r>
      <w:r w:rsidRPr="008F2827">
        <w:rPr>
          <w:shd w:val="clear" w:color="auto" w:fill="FFFFFF"/>
        </w:rPr>
        <w:t xml:space="preserve">ite majorities, the Court concluded that this use of racial criteria was permissible because there was no “fencing out” of the </w:t>
      </w:r>
      <w:r w:rsidR="007052C4">
        <w:rPr>
          <w:shd w:val="clear" w:color="auto" w:fill="FFFFFF"/>
        </w:rPr>
        <w:t>W</w:t>
      </w:r>
      <w:r w:rsidRPr="008F2827">
        <w:rPr>
          <w:shd w:val="clear" w:color="auto" w:fill="FFFFFF"/>
        </w:rPr>
        <w:t xml:space="preserve">hite population in the county from participating in the election processes, and </w:t>
      </w:r>
      <w:r w:rsidR="007052C4">
        <w:rPr>
          <w:shd w:val="clear" w:color="auto" w:fill="FFFFFF"/>
        </w:rPr>
        <w:t>W</w:t>
      </w:r>
      <w:r w:rsidRPr="008F2827">
        <w:rPr>
          <w:shd w:val="clear" w:color="auto" w:fill="FFFFFF"/>
        </w:rPr>
        <w:t>hite</w:t>
      </w:r>
      <w:r w:rsidR="007052C4">
        <w:rPr>
          <w:shd w:val="clear" w:color="auto" w:fill="FFFFFF"/>
        </w:rPr>
        <w:t xml:space="preserve"> people </w:t>
      </w:r>
      <w:r w:rsidRPr="008F2827">
        <w:rPr>
          <w:shd w:val="clear" w:color="auto" w:fill="FFFFFF"/>
        </w:rPr>
        <w:t xml:space="preserve">were not subsequently underrepresented relative to their representation of the population. </w:t>
      </w:r>
    </w:p>
    <w:p w14:paraId="2F001B7D" w14:textId="77777777" w:rsidR="00E12D32" w:rsidRPr="00163850" w:rsidRDefault="00E12D32" w:rsidP="00F52825">
      <w:pPr>
        <w:pStyle w:val="Subhead2sl"/>
        <w:spacing w:line="276" w:lineRule="auto"/>
      </w:pPr>
      <w:r>
        <w:t>Arguments for Shaw (petitioner)</w:t>
      </w:r>
    </w:p>
    <w:p w14:paraId="322B44C8" w14:textId="77777777" w:rsidR="00E12D32" w:rsidRPr="00494D0D" w:rsidRDefault="00E12D32" w:rsidP="00F52825">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14:paraId="40FA733D" w14:textId="77777777" w:rsidR="00E12D32" w:rsidRPr="00494D0D" w:rsidRDefault="00E12D32" w:rsidP="00F52825">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14:paraId="6323C90B" w14:textId="2EAA790D" w:rsidR="00E12D32" w:rsidRPr="00494D0D" w:rsidRDefault="00E12D32" w:rsidP="00F52825">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race is impermissible racial segregation. That does not change just because race is used to advance the interests of a minority group rather than limit them.</w:t>
      </w:r>
    </w:p>
    <w:p w14:paraId="6EE49BB0" w14:textId="6AADAEF3" w:rsidR="00E12D32" w:rsidRPr="0032734D" w:rsidRDefault="00E12D32" w:rsidP="00F52825">
      <w:pPr>
        <w:pStyle w:val="Bulletsl"/>
        <w:spacing w:line="276" w:lineRule="auto"/>
      </w:pPr>
      <w:r>
        <w:rPr>
          <w:shd w:val="clear" w:color="auto" w:fill="FFFFFF"/>
        </w:rPr>
        <w:t xml:space="preserve">Drawing districts on the basis of race advances the stereotype that </w:t>
      </w:r>
      <w:r w:rsidR="007052C4">
        <w:rPr>
          <w:shd w:val="clear" w:color="auto" w:fill="FFFFFF"/>
        </w:rPr>
        <w:t>B</w:t>
      </w:r>
      <w:r>
        <w:rPr>
          <w:shd w:val="clear" w:color="auto" w:fill="FFFFFF"/>
        </w:rPr>
        <w:t xml:space="preserve">lack voters will only vote for a </w:t>
      </w:r>
      <w:r w:rsidR="007052C4">
        <w:rPr>
          <w:shd w:val="clear" w:color="auto" w:fill="FFFFFF"/>
        </w:rPr>
        <w:t>B</w:t>
      </w:r>
      <w:r>
        <w:rPr>
          <w:shd w:val="clear" w:color="auto" w:fill="FFFFFF"/>
        </w:rPr>
        <w:t xml:space="preserve">lack candidate and </w:t>
      </w:r>
      <w:r w:rsidR="007052C4">
        <w:rPr>
          <w:shd w:val="clear" w:color="auto" w:fill="FFFFFF"/>
        </w:rPr>
        <w:t>W</w:t>
      </w:r>
      <w:r>
        <w:rPr>
          <w:shd w:val="clear" w:color="auto" w:fill="FFFFFF"/>
        </w:rPr>
        <w:t xml:space="preserve">hite voters for a </w:t>
      </w:r>
      <w:r w:rsidR="007052C4">
        <w:rPr>
          <w:shd w:val="clear" w:color="auto" w:fill="FFFFFF"/>
        </w:rPr>
        <w:t>W</w:t>
      </w:r>
      <w:r>
        <w:rPr>
          <w:shd w:val="clear" w:color="auto" w:fill="FFFFFF"/>
        </w:rPr>
        <w:t xml:space="preserve">hite candidate. Minority voters have different views and interests and do not necessarily have a single, unified “candidate of choice.” </w:t>
      </w:r>
    </w:p>
    <w:p w14:paraId="53358FF8" w14:textId="77777777" w:rsidR="00E12D32" w:rsidRPr="00494D0D" w:rsidRDefault="00E12D32" w:rsidP="00F52825">
      <w:pPr>
        <w:pStyle w:val="Subhead2sl"/>
        <w:spacing w:line="276" w:lineRule="auto"/>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14:paraId="48E0FFA0" w14:textId="77777777" w:rsidR="00E12D32" w:rsidRPr="003D1C1B" w:rsidRDefault="00E12D32" w:rsidP="00F52825">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14:paraId="7ABB717E" w14:textId="1B6C70DB" w:rsidR="00E12D32" w:rsidRPr="00B444BC" w:rsidRDefault="00E12D32" w:rsidP="00F52825">
      <w:pPr>
        <w:pStyle w:val="Bulletsl"/>
        <w:spacing w:line="276" w:lineRule="auto"/>
        <w:rPr>
          <w:shd w:val="clear" w:color="auto" w:fill="FFFFFF"/>
        </w:rPr>
      </w:pPr>
      <w:r w:rsidRPr="00DA2DC2">
        <w:rPr>
          <w:shd w:val="clear" w:color="auto" w:fill="FFFFFF"/>
        </w:rPr>
        <w:lastRenderedPageBreak/>
        <w:t xml:space="preserve">The </w:t>
      </w:r>
      <w:r w:rsidRPr="00E86AAB">
        <w:rPr>
          <w:shd w:val="clear" w:color="auto" w:fill="FFFFFF"/>
        </w:rPr>
        <w:t>Voting Rights Act of 1965</w:t>
      </w:r>
      <w:r w:rsidRPr="00DA2DC2">
        <w:rPr>
          <w:shd w:val="clear" w:color="auto" w:fill="FFFFFF"/>
        </w:rPr>
        <w:t xml:space="preserve"> encourages the creation of districts with majorities of </w:t>
      </w:r>
      <w:r w:rsidR="00C345C1">
        <w:rPr>
          <w:shd w:val="clear" w:color="auto" w:fill="FFFFFF"/>
        </w:rPr>
        <w:t>African American</w:t>
      </w:r>
      <w:r w:rsidRPr="00DA2DC2">
        <w:rPr>
          <w:shd w:val="clear" w:color="auto" w:fill="FFFFFF"/>
        </w:rPr>
        <w:t>,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14:paraId="03FDDCD9" w14:textId="275A54BF" w:rsidR="00E12D32" w:rsidRDefault="00E12D32" w:rsidP="00F52825">
      <w:pPr>
        <w:pStyle w:val="Bulletsl"/>
        <w:spacing w:line="276" w:lineRule="auto"/>
      </w:pPr>
      <w:r>
        <w:t xml:space="preserve">In </w:t>
      </w:r>
      <w:r w:rsidRPr="34C36DBF">
        <w:rPr>
          <w:i/>
          <w:iCs/>
        </w:rPr>
        <w:t>Gomillion v. Lightfoot</w:t>
      </w:r>
      <w:r>
        <w:t xml:space="preserve"> (1960), the Court held that districts can</w:t>
      </w:r>
      <w:r w:rsidR="00C345C1">
        <w:t xml:space="preserve">not </w:t>
      </w:r>
      <w:r>
        <w:t>be drawn to discriminate against minorities. But that does not mean that race can</w:t>
      </w:r>
      <w:r w:rsidR="00C345C1">
        <w:t xml:space="preserve">not </w:t>
      </w:r>
      <w:r>
        <w:t xml:space="preserve">be used to draw districts that advance the interests of minorities.  </w:t>
      </w:r>
    </w:p>
    <w:p w14:paraId="3D0E1DDD" w14:textId="702F2F29" w:rsidR="00E12D32" w:rsidRPr="00DA2DC2" w:rsidRDefault="00E12D32" w:rsidP="00F52825">
      <w:pPr>
        <w:pStyle w:val="Bulletsl"/>
        <w:spacing w:line="276" w:lineRule="auto"/>
        <w:rPr>
          <w:shd w:val="clear" w:color="auto" w:fill="FFFFFF"/>
        </w:rPr>
      </w:pPr>
      <w:r w:rsidRPr="00DA2DC2">
        <w:rPr>
          <w:shd w:val="clear" w:color="auto" w:fill="FFFFFF"/>
        </w:rPr>
        <w:t xml:space="preserve">In </w:t>
      </w:r>
      <w:r w:rsidRPr="00DA2DC2">
        <w:rPr>
          <w:i/>
        </w:rPr>
        <w:t>United Jewish Organizations of Williamsburgh, Inc. v. Carey</w:t>
      </w:r>
      <w:r w:rsidRPr="00DA2DC2">
        <w:rPr>
          <w:shd w:val="clear" w:color="auto" w:fill="FFFFFF"/>
        </w:rPr>
        <w:t xml:space="preserve">, the Court approved “racial redistricting where appropriate to avoid abridging the right to vote on account of race.” </w:t>
      </w:r>
      <w:r w:rsidR="004E5DBB">
        <w:rPr>
          <w:shd w:val="clear" w:color="auto" w:fill="FFFFFF"/>
        </w:rPr>
        <w:t>T</w:t>
      </w:r>
      <w:r>
        <w:rPr>
          <w:shd w:val="clear" w:color="auto" w:fill="FFFFFF"/>
        </w:rPr>
        <w:t>he Court found that the</w:t>
      </w:r>
      <w:r w:rsidR="00B50693">
        <w:rPr>
          <w:shd w:val="clear" w:color="auto" w:fill="FFFFFF"/>
        </w:rPr>
        <w:t xml:space="preserve"> White voters’</w:t>
      </w:r>
      <w:r>
        <w:rPr>
          <w:shd w:val="clear" w:color="auto" w:fill="FFFFFF"/>
        </w:rPr>
        <w:t xml:space="preserve">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14:paraId="619C877E" w14:textId="77777777" w:rsidR="00E12D32" w:rsidRPr="008F2827" w:rsidRDefault="00E12D32" w:rsidP="00F52825">
      <w:pPr>
        <w:pStyle w:val="Subhead2sl"/>
        <w:spacing w:line="276" w:lineRule="auto"/>
        <w:rPr>
          <w:rStyle w:val="Subhead2slChar"/>
          <w:b/>
          <w:i/>
        </w:rPr>
      </w:pPr>
      <w:r w:rsidRPr="008F2827">
        <w:rPr>
          <w:rStyle w:val="Subhead2slChar"/>
          <w:b/>
          <w:i/>
        </w:rPr>
        <w:t>Decision</w:t>
      </w:r>
    </w:p>
    <w:p w14:paraId="4D06CF4E" w14:textId="37CA8058" w:rsidR="00E12D32" w:rsidRDefault="00E12D32" w:rsidP="00F52825">
      <w:pPr>
        <w:pStyle w:val="Basiccopysl"/>
      </w:pPr>
      <w:r>
        <w:t>In a 5</w:t>
      </w:r>
      <w:r w:rsidR="00C345C1">
        <w:t>-</w:t>
      </w:r>
      <w:r>
        <w:t>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14:paraId="194BB7B5" w14:textId="77777777" w:rsidR="00E12D32" w:rsidRPr="00163850" w:rsidRDefault="00E12D32" w:rsidP="00F52825">
      <w:pPr>
        <w:pStyle w:val="Subhead3sl"/>
      </w:pPr>
      <w:r w:rsidRPr="00163850">
        <w:t>Majority</w:t>
      </w:r>
    </w:p>
    <w:p w14:paraId="08D36277" w14:textId="77777777" w:rsidR="00E12D32" w:rsidRDefault="00E12D32" w:rsidP="00F52825">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r w:rsidRPr="00B444BC">
        <w:rPr>
          <w:i/>
          <w:shd w:val="clear" w:color="auto" w:fill="FFFFFF"/>
        </w:rPr>
        <w:t>Gomillion</w:t>
      </w:r>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14:paraId="30751C30" w14:textId="6EAA8562" w:rsidR="00E12D32" w:rsidRDefault="00E12D32" w:rsidP="00F52825">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w:t>
      </w:r>
      <w:r w:rsidR="007B7E1E">
        <w:rPr>
          <w:shd w:val="clear" w:color="auto" w:fill="FFFFFF"/>
        </w:rPr>
        <w:t>promote</w:t>
      </w:r>
      <w:r>
        <w:rPr>
          <w:shd w:val="clear" w:color="auto" w:fill="FFFFFF"/>
        </w:rPr>
        <w:t xml:space="preserve">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14:paraId="17C736AE" w14:textId="77777777" w:rsidR="00E12D32" w:rsidRPr="001E4CFC" w:rsidRDefault="00E12D32" w:rsidP="00F52825">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14:paraId="50897180" w14:textId="77777777" w:rsidR="00E12D32" w:rsidRPr="00163850" w:rsidRDefault="00E12D32" w:rsidP="00F52825">
      <w:pPr>
        <w:pStyle w:val="Subhead3sl"/>
      </w:pPr>
      <w:r>
        <w:lastRenderedPageBreak/>
        <w:t>Dissents</w:t>
      </w:r>
    </w:p>
    <w:p w14:paraId="13C93CB9" w14:textId="77777777" w:rsidR="005149D1" w:rsidRDefault="00E12D32" w:rsidP="00F52825">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together, and that race-conscious gerrymandering only violates the Equal Protection Clause if the purpose of those drawing the boundaries is to enhance the power of the group in control of the process, at the expense of minority voters.</w:t>
      </w:r>
    </w:p>
    <w:p w14:paraId="7C0ABEC9" w14:textId="77777777" w:rsidR="005149D1" w:rsidRDefault="005149D1" w:rsidP="00930A80">
      <w:pPr>
        <w:pStyle w:val="Subhead2sl"/>
      </w:pPr>
      <w:r>
        <w:t>Impact</w:t>
      </w:r>
    </w:p>
    <w:p w14:paraId="43462F56" w14:textId="153BC504" w:rsidR="005149D1" w:rsidRPr="00930A80" w:rsidRDefault="005149D1" w:rsidP="00930A80">
      <w:pPr>
        <w:pStyle w:val="Basiccopysl"/>
      </w:pPr>
      <w:r w:rsidRPr="00930A80">
        <w:t>After the Supreme Court sent the case back to the lower court, it determined that North Carolina’s redistricting plan did not violate the Constitution</w:t>
      </w:r>
      <w:r w:rsidR="00930A80">
        <w:t xml:space="preserve"> b</w:t>
      </w:r>
      <w:r w:rsidRPr="00930A80">
        <w:t xml:space="preserve">ecause </w:t>
      </w:r>
      <w:r w:rsidR="00930A80">
        <w:t>the state</w:t>
      </w:r>
      <w:r w:rsidRPr="00930A80">
        <w:t xml:space="preserve"> had a compelling, or very strong, interest in complying with the Voting Rights Act’s guarantee that a person’s vote cannot be limited or taken away due to their race. However, the case returned to the Supreme Court, this time as </w:t>
      </w:r>
      <w:r w:rsidRPr="00930A80">
        <w:rPr>
          <w:i/>
          <w:iCs/>
        </w:rPr>
        <w:t>Shaw v. Hunt,</w:t>
      </w:r>
      <w:r w:rsidRPr="00930A80">
        <w:t xml:space="preserve"> and in June 1996, the Court struck down North Carolina’s plan. The Court discussed the fact that District 12 was drawn so oddly that it could not be explained by factors other than race. In a 5-4 decision written by Chief Justice Rehnquist, the Court concluded that the map’s racially</w:t>
      </w:r>
      <w:r w:rsidR="00930A80">
        <w:t xml:space="preserve"> </w:t>
      </w:r>
      <w:r w:rsidRPr="00930A80">
        <w:t xml:space="preserve">drawn lines violated the Equal Protection Clause and did not serve a compelling interest. To this day, courts use </w:t>
      </w:r>
      <w:r w:rsidRPr="00930A80">
        <w:rPr>
          <w:i/>
          <w:iCs/>
        </w:rPr>
        <w:t>Shaw v. Reno</w:t>
      </w:r>
      <w:r w:rsidRPr="00930A80">
        <w:t xml:space="preserve"> to show that using race to make decisions about voting districts, school districts, and housing laws may be unconstitutional under the Equal Protection Clause</w:t>
      </w:r>
      <w:r w:rsidR="00930A80">
        <w:t>,</w:t>
      </w:r>
      <w:r w:rsidRPr="00930A80">
        <w:t xml:space="preserve"> unless there is a compelling government interest other than race. </w:t>
      </w:r>
    </w:p>
    <w:p w14:paraId="43D40F7F" w14:textId="082E8757" w:rsidR="00E12D32" w:rsidRPr="00415813" w:rsidRDefault="00E12D32" w:rsidP="00F52825">
      <w:pPr>
        <w:pStyle w:val="Basiccopysl"/>
      </w:pPr>
      <w:r>
        <w:t xml:space="preserve"> </w:t>
      </w:r>
    </w:p>
    <w:p w14:paraId="25EA3AF5" w14:textId="77777777" w:rsidR="00E12D32" w:rsidRDefault="00E12D32" w:rsidP="00F52825">
      <w:pPr>
        <w:pStyle w:val="Heading1"/>
        <w:spacing w:line="276" w:lineRule="auto"/>
        <w:sectPr w:rsidR="00E12D32" w:rsidSect="00F42CDF">
          <w:headerReference w:type="default" r:id="rId60"/>
          <w:footerReference w:type="default" r:id="rId61"/>
          <w:headerReference w:type="first" r:id="rId62"/>
          <w:footerReference w:type="first" r:id="rId63"/>
          <w:footnotePr>
            <w:numFmt w:val="chicago"/>
          </w:footnotePr>
          <w:pgSz w:w="12240" w:h="15840"/>
          <w:pgMar w:top="1440" w:right="1440" w:bottom="1440" w:left="1440" w:header="720" w:footer="720" w:gutter="0"/>
          <w:cols w:space="720"/>
          <w:titlePg/>
          <w:docGrid w:linePitch="360"/>
        </w:sectPr>
      </w:pPr>
    </w:p>
    <w:p w14:paraId="6A2A1B0E" w14:textId="77777777" w:rsidR="00F52825" w:rsidRPr="00810E29" w:rsidRDefault="00F52825" w:rsidP="00F52825">
      <w:pPr>
        <w:spacing w:after="0"/>
        <w:rPr>
          <w:sz w:val="12"/>
          <w:szCs w:val="10"/>
        </w:rPr>
      </w:pPr>
    </w:p>
    <w:p w14:paraId="104292FE" w14:textId="572CF375" w:rsidR="00E12D32" w:rsidRPr="00084153" w:rsidRDefault="00E12D32" w:rsidP="00CC30C5">
      <w:pPr>
        <w:pStyle w:val="Heading1"/>
      </w:pPr>
      <w:bookmarkStart w:id="19" w:name="_Toc80619882"/>
      <w:r w:rsidRPr="00F52825">
        <w:t xml:space="preserve">Tinker v. Des Moines Independent </w:t>
      </w:r>
      <w:r w:rsidRPr="00F52825">
        <w:br/>
        <w:t>Community School District</w:t>
      </w:r>
      <w:r>
        <w:t xml:space="preserve"> </w:t>
      </w:r>
      <w:r w:rsidRPr="00CC30C5">
        <w:rPr>
          <w:i w:val="0"/>
          <w:iCs w:val="0"/>
        </w:rPr>
        <w:t>(1969)</w:t>
      </w:r>
      <w:bookmarkEnd w:id="19"/>
    </w:p>
    <w:p w14:paraId="650DE281" w14:textId="77777777" w:rsidR="00E12D32" w:rsidRPr="00ED7038" w:rsidRDefault="00E12D32" w:rsidP="00F52825">
      <w:pPr>
        <w:pStyle w:val="Argueddecideddatessl"/>
        <w:spacing w:after="120"/>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14:paraId="60B74C99" w14:textId="77777777" w:rsidR="00E12D32" w:rsidRPr="00ED7038" w:rsidRDefault="00E12D32" w:rsidP="00F52825">
      <w:pPr>
        <w:pStyle w:val="Argueddecideddatessl"/>
        <w:spacing w:after="120"/>
      </w:pPr>
      <w:r>
        <w:t>Decided</w:t>
      </w:r>
      <w:r w:rsidRPr="00ED7038">
        <w:t xml:space="preserve">: </w:t>
      </w:r>
      <w:r>
        <w:rPr>
          <w:b w:val="0"/>
        </w:rPr>
        <w:t>February 24, 1969</w:t>
      </w:r>
    </w:p>
    <w:p w14:paraId="73026C56" w14:textId="77777777" w:rsidR="00E12D32" w:rsidRPr="00EE6A86" w:rsidRDefault="00E12D32" w:rsidP="00F52825">
      <w:pPr>
        <w:pStyle w:val="Subhead2sl"/>
        <w:spacing w:line="276" w:lineRule="auto"/>
      </w:pPr>
      <w:r w:rsidRPr="00EE6A86">
        <w:t>Facts</w:t>
      </w:r>
    </w:p>
    <w:p w14:paraId="3F030884" w14:textId="77777777" w:rsidR="00E12D32" w:rsidRPr="00EE6A86" w:rsidRDefault="00E12D32" w:rsidP="00F52825">
      <w:pPr>
        <w:pStyle w:val="Basiccopysl"/>
      </w:pPr>
      <w:r w:rsidRPr="00EE6A86">
        <w:t>In 1966</w:t>
      </w:r>
      <w:r>
        <w:t>,</w:t>
      </w:r>
      <w:r w:rsidRPr="00EE6A86">
        <w:t xml:space="preserve"> in Des Moines, Iowa, five students</w:t>
      </w:r>
      <w:r>
        <w:t xml:space="preserve">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14:paraId="726A91BB" w14:textId="1FA5EC41" w:rsidR="00E12D32" w:rsidRPr="008B061A" w:rsidRDefault="00E12D32" w:rsidP="00F52825">
      <w:pPr>
        <w:pStyle w:val="Basiccopysl"/>
      </w:pPr>
      <w:r w:rsidRPr="008B061A">
        <w:t xml:space="preserve">Mary Beth Tinker, an </w:t>
      </w:r>
      <w:r>
        <w:t>eighth grader,</w:t>
      </w:r>
      <w:r w:rsidRPr="008B061A">
        <w:t xml:space="preserve"> and John Tinker</w:t>
      </w:r>
      <w:r>
        <w:t xml:space="preserve"> and Christopher Eck</w:t>
      </w:r>
      <w:r w:rsidR="000E3154">
        <w:t>h</w:t>
      </w:r>
      <w:r>
        <w:t>ardt,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federal D</w:t>
      </w:r>
      <w:r w:rsidRPr="008B061A">
        <w:t xml:space="preserve">istrict </w:t>
      </w:r>
      <w:r>
        <w:t>C</w:t>
      </w:r>
      <w:r w:rsidRPr="008B061A">
        <w:t xml:space="preserve">ourt dismissed the case and </w:t>
      </w:r>
      <w:r>
        <w:t>ruled</w:t>
      </w:r>
      <w:r w:rsidRPr="008B061A">
        <w:t xml:space="preserve"> that the school district</w:t>
      </w:r>
      <w:r>
        <w:t>’</w:t>
      </w:r>
      <w:r w:rsidRPr="008B061A">
        <w:t xml:space="preserve">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14:paraId="7D65B4B5" w14:textId="77777777" w:rsidR="00E12D32" w:rsidRPr="00EE6A86" w:rsidRDefault="00E12D32" w:rsidP="00F52825">
      <w:pPr>
        <w:pStyle w:val="Subhead2sl"/>
        <w:spacing w:line="276" w:lineRule="auto"/>
      </w:pPr>
      <w:r w:rsidRPr="00EE6A86">
        <w:t>Issue</w:t>
      </w:r>
    </w:p>
    <w:p w14:paraId="41D274AC" w14:textId="77777777" w:rsidR="00E12D32" w:rsidRPr="00EE6A86" w:rsidRDefault="00E12D32" w:rsidP="00F52825">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14:paraId="41D2BA22" w14:textId="77777777" w:rsidR="00E12D32" w:rsidRPr="00EE6A86" w:rsidRDefault="00E12D32" w:rsidP="00F52825">
      <w:pPr>
        <w:pStyle w:val="Subhead2sl"/>
        <w:spacing w:line="276" w:lineRule="auto"/>
      </w:pPr>
      <w:r w:rsidRPr="00EE6A86">
        <w:t xml:space="preserve">Constitutional </w:t>
      </w:r>
      <w:r>
        <w:t>Amendments</w:t>
      </w:r>
      <w:r w:rsidRPr="00EE6A86">
        <w:t xml:space="preserve"> and </w:t>
      </w:r>
      <w:r>
        <w:t xml:space="preserve">Supreme Court </w:t>
      </w:r>
      <w:r w:rsidRPr="00EE6A86">
        <w:t>Precedent</w:t>
      </w:r>
    </w:p>
    <w:p w14:paraId="4C3B8769" w14:textId="77777777" w:rsidR="00E12D32" w:rsidRPr="004475C6" w:rsidRDefault="00E12D32" w:rsidP="00F52825">
      <w:pPr>
        <w:pStyle w:val="Amendmentprecedentbulletsl"/>
        <w:spacing w:line="276" w:lineRule="auto"/>
      </w:pPr>
      <w:r>
        <w:t>First Amendment to the U.S. Constitution</w:t>
      </w:r>
    </w:p>
    <w:p w14:paraId="22C6B7EA" w14:textId="77777777" w:rsidR="00E12D32" w:rsidRPr="008B061A" w:rsidRDefault="00E12D32" w:rsidP="00F52825">
      <w:pPr>
        <w:pStyle w:val="Indentedbasiccopysl"/>
      </w:pPr>
      <w:r>
        <w:t>“</w:t>
      </w:r>
      <w:r w:rsidRPr="00EE6A86">
        <w:t xml:space="preserve">Congress shall make no law </w:t>
      </w:r>
      <w:r>
        <w:t xml:space="preserve">. . . </w:t>
      </w:r>
      <w:r w:rsidRPr="00EE6A86">
        <w:t>abridging the freedom of speech</w:t>
      </w:r>
      <w:r>
        <w:t xml:space="preserve"> . . . . ”</w:t>
      </w:r>
    </w:p>
    <w:p w14:paraId="3C8A4DA5" w14:textId="77777777" w:rsidR="00E12D32" w:rsidRDefault="00E12D32" w:rsidP="00F52825">
      <w:pPr>
        <w:pStyle w:val="Amendmentprecedentbulletsl"/>
        <w:spacing w:line="276" w:lineRule="auto"/>
      </w:pPr>
      <w:r>
        <w:t>14</w:t>
      </w:r>
      <w:r w:rsidRPr="00C843BF">
        <w:rPr>
          <w:vertAlign w:val="superscript"/>
        </w:rPr>
        <w:t>th</w:t>
      </w:r>
      <w:r>
        <w:t xml:space="preserve"> Amendment to the </w:t>
      </w:r>
      <w:r w:rsidRPr="00D83DB1">
        <w:t xml:space="preserve">U.S. Constitution </w:t>
      </w:r>
    </w:p>
    <w:p w14:paraId="20D19147" w14:textId="77777777" w:rsidR="00E12D32" w:rsidRDefault="00E12D32" w:rsidP="00F52825">
      <w:pPr>
        <w:pStyle w:val="Amendmentprecedentbulletsl"/>
        <w:numPr>
          <w:ilvl w:val="0"/>
          <w:numId w:val="0"/>
        </w:numPr>
        <w:spacing w:before="0" w:line="276" w:lineRule="auto"/>
        <w:ind w:left="720"/>
        <w:rPr>
          <w:b w:val="0"/>
          <w:bCs/>
        </w:rPr>
      </w:pPr>
      <w:r>
        <w:rPr>
          <w:b w:val="0"/>
          <w:bCs/>
        </w:rPr>
        <w:t>“</w:t>
      </w:r>
      <w:r w:rsidRPr="00401E16">
        <w:rPr>
          <w:b w:val="0"/>
          <w:bCs/>
        </w:rPr>
        <w:t>No state shall make or enforce any law which shall abridge the privileges or immunities of citizens of the United States; nor shall any state deprive any person of life, liberty or property, without due process of law</w:t>
      </w:r>
      <w:r>
        <w:rPr>
          <w:b w:val="0"/>
          <w:bCs/>
        </w:rPr>
        <w:t xml:space="preserve"> . . . .”</w:t>
      </w:r>
    </w:p>
    <w:p w14:paraId="22BF1E92" w14:textId="77777777" w:rsidR="00E12D32" w:rsidRPr="008906FE" w:rsidRDefault="00E12D32" w:rsidP="00F52825">
      <w:pPr>
        <w:pStyle w:val="Amendmentprecedentbulletsl"/>
        <w:keepNext/>
        <w:spacing w:line="276" w:lineRule="auto"/>
        <w:rPr>
          <w:b w:val="0"/>
          <w:bCs/>
        </w:rPr>
      </w:pPr>
      <w:r w:rsidRPr="008906FE">
        <w:rPr>
          <w:b w:val="0"/>
          <w:bCs/>
          <w:i/>
        </w:rPr>
        <w:lastRenderedPageBreak/>
        <w:t>West Virginia State Board of Education v. Barnette</w:t>
      </w:r>
      <w:r w:rsidRPr="008906FE">
        <w:rPr>
          <w:b w:val="0"/>
          <w:bCs/>
        </w:rPr>
        <w:t xml:space="preserve"> (1943)</w:t>
      </w:r>
    </w:p>
    <w:p w14:paraId="19048F59" w14:textId="20B1DB7C" w:rsidR="00E12D32" w:rsidRPr="00EE6A86" w:rsidRDefault="00E12D32" w:rsidP="00F52825">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w:t>
      </w:r>
      <w:r w:rsidR="00462097" w:rsidRPr="00EE6A86">
        <w:t>speech because</w:t>
      </w:r>
      <w:r w:rsidRPr="00EE6A86">
        <w:t xml:space="preserve"> it was a way to communicate ideas. </w:t>
      </w:r>
      <w:r>
        <w:t>The justices ruled that, in most cases, t</w:t>
      </w:r>
      <w:r w:rsidRPr="00EE6A86">
        <w:t>he government</w:t>
      </w:r>
      <w:r>
        <w:t xml:space="preserve"> </w:t>
      </w:r>
      <w:r w:rsidRPr="00EE6A86">
        <w:t>could not require people to express ideas that they disagree with.</w:t>
      </w:r>
      <w:r>
        <w:t xml:space="preserve"> </w:t>
      </w:r>
    </w:p>
    <w:p w14:paraId="5EFC07AC" w14:textId="77777777" w:rsidR="00E12D32" w:rsidRPr="00EE6A86" w:rsidRDefault="00E12D32" w:rsidP="00F52825">
      <w:pPr>
        <w:pStyle w:val="Subhead2sl"/>
        <w:spacing w:line="276" w:lineRule="auto"/>
      </w:pPr>
      <w:r w:rsidRPr="00EE6A86">
        <w:t>Arguments for Tinker</w:t>
      </w:r>
      <w:r>
        <w:t xml:space="preserve"> (petitioner)</w:t>
      </w:r>
    </w:p>
    <w:p w14:paraId="05BF301F" w14:textId="77777777" w:rsidR="00E12D32" w:rsidRPr="004475C6" w:rsidRDefault="00E12D32" w:rsidP="00F52825">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14:paraId="12A5D88D" w14:textId="77777777" w:rsidR="00E12D32" w:rsidRPr="004475C6" w:rsidRDefault="00E12D32" w:rsidP="00F52825">
      <w:pPr>
        <w:pStyle w:val="Bulletsl"/>
        <w:spacing w:line="276" w:lineRule="auto"/>
      </w:pPr>
      <w:r w:rsidRPr="004475C6">
        <w:t xml:space="preserve">Public schools are part of state government. The </w:t>
      </w:r>
      <w:r>
        <w:t>14</w:t>
      </w:r>
      <w:r w:rsidRPr="00E04754">
        <w:rPr>
          <w:vertAlign w:val="superscript"/>
        </w:rPr>
        <w:t>th</w:t>
      </w:r>
      <w:r>
        <w:t xml:space="preserve"> </w:t>
      </w:r>
      <w:r w:rsidRPr="004475C6">
        <w:t>Amendment protects people from state infringement of their First Amendment rights to free speech.</w:t>
      </w:r>
    </w:p>
    <w:p w14:paraId="7F71510A" w14:textId="77777777" w:rsidR="00E12D32" w:rsidRPr="004475C6" w:rsidRDefault="00E12D32" w:rsidP="00F52825">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14:paraId="393EF933" w14:textId="77777777" w:rsidR="00E12D32" w:rsidRPr="004475C6" w:rsidRDefault="00E12D32" w:rsidP="00F52825">
      <w:pPr>
        <w:pStyle w:val="Bulletsl"/>
        <w:spacing w:line="276" w:lineRule="auto"/>
      </w:pPr>
      <w:r w:rsidRPr="004475C6">
        <w:t>The students’ speech was not disruptive. The school</w:t>
      </w:r>
      <w:r>
        <w:t xml:space="preserve"> district </w:t>
      </w:r>
      <w:r w:rsidRPr="004475C6">
        <w:t>gave no evidence that the armbands were a distraction or disrupted the learning process. Just because the school</w:t>
      </w:r>
      <w:r>
        <w:t xml:space="preserve">s were </w:t>
      </w:r>
      <w:r w:rsidRPr="004475C6">
        <w:t xml:space="preserve">afraid that there might be a disruption is not enough to infringe students’ speech. </w:t>
      </w:r>
    </w:p>
    <w:p w14:paraId="3FEAEA13" w14:textId="77777777" w:rsidR="00E12D32" w:rsidRPr="004475C6" w:rsidRDefault="00E12D32" w:rsidP="00F52825">
      <w:pPr>
        <w:pStyle w:val="Bulletsl"/>
        <w:spacing w:line="276" w:lineRule="auto"/>
      </w:pPr>
      <w:r w:rsidRPr="004475C6">
        <w:t>The students wearing the armbands did not infringe any other student’s rights. Wearing the armbands did not intrude upon the work of the school</w:t>
      </w:r>
      <w:r>
        <w:t>s</w:t>
      </w:r>
      <w:r w:rsidRPr="004475C6">
        <w:t>, teachers, or other students.</w:t>
      </w:r>
    </w:p>
    <w:p w14:paraId="3222BEDC" w14:textId="77777777" w:rsidR="00E12D32" w:rsidRPr="004475C6" w:rsidRDefault="00E12D32" w:rsidP="00F52825">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14:paraId="7A00BD3C" w14:textId="77777777" w:rsidR="00E12D32" w:rsidRPr="00EE6A86" w:rsidRDefault="00E12D32" w:rsidP="00F52825">
      <w:pPr>
        <w:pStyle w:val="Subhead2sl"/>
        <w:spacing w:line="276" w:lineRule="auto"/>
      </w:pPr>
      <w:r w:rsidRPr="00EE6A86">
        <w:t>Arguments for Des Moines</w:t>
      </w:r>
      <w:r>
        <w:t xml:space="preserve"> Independent Community School District (respondent)</w:t>
      </w:r>
    </w:p>
    <w:p w14:paraId="0968934C" w14:textId="77777777" w:rsidR="00E12D32" w:rsidRPr="00EE6A86" w:rsidRDefault="00E12D32" w:rsidP="00F52825">
      <w:pPr>
        <w:pStyle w:val="Bulletsl"/>
        <w:spacing w:line="276" w:lineRule="auto"/>
      </w:pPr>
      <w:r w:rsidRPr="00EE6A86">
        <w:t>Free speech is not an absolute right. The First Amendment does not say that anyone may say anything, at any place, at any time. Schools are not an appropriate forum for protest.</w:t>
      </w:r>
    </w:p>
    <w:p w14:paraId="0BE77EB0" w14:textId="77777777" w:rsidR="00E12D32" w:rsidRPr="00EE6A86" w:rsidRDefault="00E12D32" w:rsidP="00F52825">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w:t>
      </w:r>
      <w:r>
        <w:t xml:space="preserve">district </w:t>
      </w:r>
      <w:r w:rsidRPr="00EE6A86">
        <w:t xml:space="preserve">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14:paraId="4AF3E2A1" w14:textId="77777777" w:rsidR="00E12D32" w:rsidRPr="00EE6A86" w:rsidRDefault="00E12D32" w:rsidP="00F52825">
      <w:pPr>
        <w:pStyle w:val="Bulletsl"/>
        <w:spacing w:line="276" w:lineRule="auto"/>
      </w:pPr>
      <w:r w:rsidRPr="00EE6A86">
        <w:t>The Vietnam War is a controversial issue. Wearing the armbands could be an explosive situation that disrupts learning. It is the school</w:t>
      </w:r>
      <w:r>
        <w:t xml:space="preserve"> district</w:t>
      </w:r>
      <w:r w:rsidRPr="00EE6A86">
        <w:t>’s duty to prevent substantial and serious disruption to the learning environment.</w:t>
      </w:r>
    </w:p>
    <w:p w14:paraId="094A1947" w14:textId="77777777" w:rsidR="00E12D32" w:rsidRPr="00EE6A86" w:rsidRDefault="00E12D32" w:rsidP="00F52825">
      <w:pPr>
        <w:pStyle w:val="Bulletsl"/>
        <w:spacing w:line="276" w:lineRule="auto"/>
      </w:pPr>
      <w:r>
        <w:lastRenderedPageBreak/>
        <w:t>V</w:t>
      </w:r>
      <w:r w:rsidRPr="00EE6A86">
        <w:t>oicing controversial opinions in class or in school areas such as the hallways, lunchroom</w:t>
      </w:r>
      <w:r>
        <w:t>s</w:t>
      </w:r>
      <w:r w:rsidRPr="00EE6A86">
        <w:t>, and gym classes may lead to bullying or violence directed against the protesting students.</w:t>
      </w:r>
      <w:r>
        <w:t xml:space="preserve"> </w:t>
      </w:r>
      <w:r w:rsidRPr="00EE6A86">
        <w:t>It is the responsibility of the school</w:t>
      </w:r>
      <w:r>
        <w:t>s</w:t>
      </w:r>
      <w:r w:rsidRPr="00EE6A86">
        <w:t xml:space="preserve"> to </w:t>
      </w:r>
      <w:r>
        <w:t xml:space="preserve">prevent such behavior and </w:t>
      </w:r>
      <w:r w:rsidRPr="00EE6A86">
        <w:t>protect the safety of all students.</w:t>
      </w:r>
    </w:p>
    <w:p w14:paraId="7AB863A6" w14:textId="77777777" w:rsidR="00E12D32" w:rsidRPr="00EE6A86" w:rsidRDefault="00E12D32" w:rsidP="00F52825">
      <w:pPr>
        <w:pStyle w:val="Bulletsl"/>
        <w:spacing w:line="276" w:lineRule="auto"/>
      </w:pPr>
      <w:r w:rsidRPr="00EE6A86">
        <w:t xml:space="preserve">The school </w:t>
      </w:r>
      <w:r>
        <w:t xml:space="preserve">district </w:t>
      </w:r>
      <w:r w:rsidRPr="00EE6A86">
        <w:t>did</w:t>
      </w:r>
      <w:r>
        <w:t xml:space="preserve"> no</w:t>
      </w:r>
      <w:r w:rsidRPr="00EE6A86">
        <w:t>t ban all types of expressions, just the armbands. They were banned because of their inflammatory nature and potential for significant disruption. Students could still express opinions in other ways</w:t>
      </w:r>
      <w:r>
        <w:t xml:space="preserve">. For example, they could </w:t>
      </w:r>
      <w:r w:rsidRPr="00EE6A86">
        <w:t>wear</w:t>
      </w:r>
      <w:r>
        <w:t xml:space="preserve"> </w:t>
      </w:r>
      <w:r w:rsidRPr="00EE6A86">
        <w:t>political emblems such as “Vote for Candidate X” buttons.</w:t>
      </w:r>
      <w:r>
        <w:t xml:space="preserve"> </w:t>
      </w:r>
    </w:p>
    <w:p w14:paraId="0ED3D39D" w14:textId="77777777" w:rsidR="00E12D32" w:rsidRPr="00EE6A86" w:rsidRDefault="00E12D32" w:rsidP="00F52825">
      <w:pPr>
        <w:pStyle w:val="Bulletsl"/>
        <w:spacing w:line="276" w:lineRule="auto"/>
      </w:pPr>
      <w:r w:rsidRPr="00EE6A86">
        <w:t xml:space="preserve">If the Supreme Court rules in favor of the </w:t>
      </w:r>
      <w:r>
        <w:t>students</w:t>
      </w:r>
      <w:r w:rsidRPr="00EE6A86">
        <w:t>, it would be overstepping its bounds and interfering with state and local government powers that govern day</w:t>
      </w:r>
      <w:r>
        <w:t>-</w:t>
      </w:r>
      <w:r w:rsidRPr="00EE6A86">
        <w:t>to</w:t>
      </w:r>
      <w:r>
        <w:t>-</w:t>
      </w:r>
      <w:r w:rsidRPr="00EE6A86">
        <w:t>day school operations.</w:t>
      </w:r>
    </w:p>
    <w:p w14:paraId="6F69EEB2" w14:textId="77777777" w:rsidR="00E12D32" w:rsidRPr="00EE6A86" w:rsidRDefault="00E12D32" w:rsidP="00F52825">
      <w:pPr>
        <w:pStyle w:val="Subhead2sl"/>
        <w:spacing w:line="276" w:lineRule="auto"/>
      </w:pPr>
      <w:r w:rsidRPr="00EE6A86">
        <w:t xml:space="preserve">Decision </w:t>
      </w:r>
    </w:p>
    <w:p w14:paraId="4DF71980" w14:textId="77777777" w:rsidR="00E12D32" w:rsidRDefault="00E12D32" w:rsidP="00F52825">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14:paraId="1B9A20A3" w14:textId="77777777" w:rsidR="00E12D32" w:rsidRPr="005C3B9C" w:rsidRDefault="00E12D32" w:rsidP="00F52825">
      <w:pPr>
        <w:pStyle w:val="Subhead3sl"/>
      </w:pPr>
      <w:r w:rsidRPr="005C3B9C">
        <w:t>Majority Opinion</w:t>
      </w:r>
    </w:p>
    <w:p w14:paraId="02E2DE97" w14:textId="77777777" w:rsidR="00E12D32" w:rsidRDefault="00E12D32" w:rsidP="00F52825">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 xml:space="preserve"> . . . .</w:t>
      </w:r>
      <w:r w:rsidRPr="008B061A">
        <w:rPr>
          <w:highlight w:val="white"/>
        </w:rPr>
        <w:t xml:space="preserve">” </w:t>
      </w:r>
    </w:p>
    <w:p w14:paraId="5482045F" w14:textId="77777777" w:rsidR="00E12D32" w:rsidRDefault="00E12D32" w:rsidP="00F52825">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w:t>
      </w:r>
      <w:r w:rsidRPr="007F0333">
        <w:t xml:space="preserve">This has become known as the </w:t>
      </w:r>
      <w:r>
        <w:t>“</w:t>
      </w:r>
      <w:r w:rsidRPr="007F0333">
        <w:t>Tinker test</w:t>
      </w:r>
      <w:r>
        <w:t xml:space="preserve">.” In this case, though, there was no evidence that the armbands would substantially interfere with the educational process or with other students’ rights. </w:t>
      </w:r>
    </w:p>
    <w:p w14:paraId="1AEE8F3A" w14:textId="77777777" w:rsidR="00E12D32" w:rsidRPr="00EE6A86" w:rsidRDefault="00E12D32" w:rsidP="00F52825">
      <w:pPr>
        <w:pStyle w:val="Subhead3sl"/>
      </w:pPr>
      <w:r w:rsidRPr="00EE6A86">
        <w:t xml:space="preserve">Dissent </w:t>
      </w:r>
    </w:p>
    <w:p w14:paraId="4CF95EF7" w14:textId="77777777" w:rsidR="00E12D32" w:rsidRDefault="00E12D32" w:rsidP="00F52825">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14:paraId="15BCFABB" w14:textId="77777777" w:rsidR="00E12D32" w:rsidRDefault="00E12D32" w:rsidP="00F52825">
      <w:pPr>
        <w:pStyle w:val="Basiccopysl"/>
      </w:pPr>
      <w:r w:rsidRPr="008B061A">
        <w:lastRenderedPageBreak/>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 … students.” </w:t>
      </w:r>
    </w:p>
    <w:p w14:paraId="0DEB98FA" w14:textId="77777777" w:rsidR="00E12D32" w:rsidRDefault="00E12D32" w:rsidP="00F52825">
      <w:pPr>
        <w:pStyle w:val="Subhead2sl"/>
        <w:spacing w:line="276" w:lineRule="auto"/>
      </w:pPr>
      <w:r>
        <w:t>Impact</w:t>
      </w:r>
    </w:p>
    <w:p w14:paraId="22585569" w14:textId="77777777" w:rsidR="00E12D32" w:rsidRPr="00AA6CFC" w:rsidRDefault="00E12D32" w:rsidP="00F52825">
      <w:pPr>
        <w:pStyle w:val="Bulletsl"/>
        <w:numPr>
          <w:ilvl w:val="0"/>
          <w:numId w:val="0"/>
        </w:numPr>
        <w:spacing w:line="276" w:lineRule="auto"/>
        <w:rPr>
          <w:rFonts w:cs="Times New Roman"/>
          <w:sz w:val="25"/>
          <w:szCs w:val="25"/>
        </w:rPr>
      </w:pPr>
      <w:r w:rsidRPr="00AA6CFC">
        <w:rPr>
          <w:rFonts w:cs="Times New Roman"/>
          <w:sz w:val="25"/>
          <w:szCs w:val="25"/>
        </w:rPr>
        <w:t xml:space="preserve">As an adult, Mary Beth Tinker promotes youth activism. She visits schools around the United States to talk about </w:t>
      </w:r>
      <w:r w:rsidRPr="00AA6CFC">
        <w:rPr>
          <w:rFonts w:cs="Times New Roman"/>
          <w:i/>
          <w:iCs/>
          <w:sz w:val="25"/>
          <w:szCs w:val="25"/>
        </w:rPr>
        <w:t>Tinker v. Des Moines</w:t>
      </w:r>
      <w:r w:rsidRPr="00AA6CFC">
        <w:rPr>
          <w:rFonts w:cs="Times New Roman"/>
          <w:sz w:val="25"/>
          <w:szCs w:val="25"/>
        </w:rPr>
        <w:t xml:space="preserve"> and tell students about their rights. </w:t>
      </w:r>
    </w:p>
    <w:p w14:paraId="31D16587" w14:textId="77777777" w:rsidR="00E12D32" w:rsidRPr="00CD49F5" w:rsidRDefault="00E12D32" w:rsidP="00F52825">
      <w:pPr>
        <w:pStyle w:val="Bulletsl"/>
        <w:numPr>
          <w:ilvl w:val="0"/>
          <w:numId w:val="0"/>
        </w:numPr>
        <w:spacing w:after="480" w:line="276" w:lineRule="auto"/>
        <w:rPr>
          <w:rFonts w:ascii="Times New Roman" w:hAnsi="Times New Roman" w:cs="Times New Roman"/>
        </w:rPr>
      </w:pPr>
      <w:r w:rsidRPr="00AA6CFC">
        <w:rPr>
          <w:rFonts w:cs="Times New Roman"/>
          <w:i/>
          <w:iCs/>
          <w:sz w:val="25"/>
          <w:szCs w:val="25"/>
        </w:rPr>
        <w:t xml:space="preserve">Tinker v. Des Moines </w:t>
      </w:r>
      <w:r w:rsidRPr="00AA6CFC">
        <w:rPr>
          <w:rFonts w:cs="Times New Roman"/>
          <w:sz w:val="25"/>
          <w:szCs w:val="25"/>
        </w:rPr>
        <w:t xml:space="preserve">is still an important decision about free speech rights in schools. Recently, the “Tinker test” has been used in cases holding that students were allowed to wear cancer awareness bracelets and that schools could prohibit students from displaying the Confederate flag. Although the decision in </w:t>
      </w:r>
      <w:r w:rsidRPr="00AA6CFC">
        <w:rPr>
          <w:rFonts w:cs="Times New Roman"/>
          <w:i/>
          <w:iCs/>
          <w:sz w:val="25"/>
          <w:szCs w:val="25"/>
        </w:rPr>
        <w:t xml:space="preserve">Tinker v. Des Moines </w:t>
      </w:r>
      <w:r>
        <w:rPr>
          <w:rFonts w:cs="Times New Roman"/>
          <w:sz w:val="25"/>
          <w:szCs w:val="25"/>
        </w:rPr>
        <w:t>expanded</w:t>
      </w:r>
      <w:r w:rsidRPr="00AA6CFC">
        <w:rPr>
          <w:rFonts w:cs="Times New Roman"/>
          <w:sz w:val="25"/>
          <w:szCs w:val="25"/>
        </w:rPr>
        <w:t xml:space="preserve"> free speech rights for students in schools, other Supreme Court decisions, such as </w:t>
      </w:r>
      <w:r w:rsidRPr="00AA6CFC">
        <w:rPr>
          <w:rFonts w:cs="Times New Roman"/>
          <w:i/>
          <w:iCs/>
          <w:sz w:val="25"/>
          <w:szCs w:val="25"/>
        </w:rPr>
        <w:t>Bethel School District v. Fraser</w:t>
      </w:r>
      <w:r>
        <w:rPr>
          <w:rFonts w:cs="Times New Roman"/>
          <w:i/>
          <w:iCs/>
          <w:sz w:val="25"/>
          <w:szCs w:val="25"/>
        </w:rPr>
        <w:t xml:space="preserve">, </w:t>
      </w:r>
      <w:r w:rsidRPr="00AA6CFC">
        <w:rPr>
          <w:rFonts w:cs="Times New Roman"/>
          <w:i/>
          <w:iCs/>
          <w:sz w:val="25"/>
          <w:szCs w:val="25"/>
        </w:rPr>
        <w:t>Hazelwood School District v. Kuhlmeier</w:t>
      </w:r>
      <w:r w:rsidRPr="00AA6CFC">
        <w:rPr>
          <w:rFonts w:cs="Times New Roman"/>
          <w:sz w:val="25"/>
          <w:szCs w:val="25"/>
        </w:rPr>
        <w:t xml:space="preserve">, </w:t>
      </w:r>
      <w:r>
        <w:rPr>
          <w:rFonts w:cs="Times New Roman"/>
          <w:sz w:val="25"/>
          <w:szCs w:val="25"/>
        </w:rPr>
        <w:t xml:space="preserve">and </w:t>
      </w:r>
      <w:r w:rsidRPr="00AA6CFC">
        <w:rPr>
          <w:rFonts w:cs="Times New Roman"/>
          <w:i/>
          <w:iCs/>
          <w:sz w:val="25"/>
          <w:szCs w:val="25"/>
        </w:rPr>
        <w:t>Morse v. Frederick</w:t>
      </w:r>
      <w:r>
        <w:rPr>
          <w:rFonts w:cs="Times New Roman"/>
          <w:sz w:val="25"/>
          <w:szCs w:val="25"/>
        </w:rPr>
        <w:t xml:space="preserve"> </w:t>
      </w:r>
      <w:r w:rsidRPr="00AA6CFC">
        <w:rPr>
          <w:rFonts w:cs="Times New Roman"/>
          <w:sz w:val="25"/>
          <w:szCs w:val="25"/>
        </w:rPr>
        <w:t xml:space="preserve">have limited </w:t>
      </w:r>
      <w:r w:rsidRPr="00AA6CFC">
        <w:rPr>
          <w:rFonts w:cs="Times New Roman"/>
          <w:i/>
          <w:iCs/>
          <w:sz w:val="25"/>
          <w:szCs w:val="25"/>
        </w:rPr>
        <w:t>Tinker</w:t>
      </w:r>
      <w:r w:rsidRPr="00960E4A">
        <w:rPr>
          <w:rFonts w:cs="Times New Roman"/>
          <w:i/>
          <w:iCs/>
          <w:sz w:val="25"/>
          <w:szCs w:val="25"/>
        </w:rPr>
        <w:t>’s</w:t>
      </w:r>
      <w:r w:rsidRPr="00AA6CFC">
        <w:rPr>
          <w:rFonts w:cs="Times New Roman"/>
          <w:sz w:val="25"/>
          <w:szCs w:val="25"/>
        </w:rPr>
        <w:t xml:space="preserve"> application and have given school officials more discretion in punishing student speech</w:t>
      </w:r>
      <w:r>
        <w:rPr>
          <w:rFonts w:ascii="Times New Roman" w:hAnsi="Times New Roman" w:cs="Times New Roman"/>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E12D32" w14:paraId="6C10A435" w14:textId="77777777" w:rsidTr="00E12D32">
        <w:tc>
          <w:tcPr>
            <w:tcW w:w="9350" w:type="dxa"/>
            <w:shd w:val="clear" w:color="auto" w:fill="F2F2F2" w:themeFill="background1" w:themeFillShade="F2"/>
          </w:tcPr>
          <w:p w14:paraId="4930B15A" w14:textId="77777777" w:rsidR="00E12D32" w:rsidRDefault="00E12D32" w:rsidP="00F52825">
            <w:pPr>
              <w:pStyle w:val="Basiccopysl"/>
              <w:spacing w:before="120"/>
            </w:pPr>
            <w:r>
              <w:t xml:space="preserve">Additional information about </w:t>
            </w:r>
            <w:r w:rsidRPr="008906FE">
              <w:rPr>
                <w:i/>
                <w:iCs/>
              </w:rPr>
              <w:t>Tinker v. Des Moines</w:t>
            </w:r>
            <w:r w:rsidRPr="00813AF7">
              <w:rPr>
                <w:i/>
                <w:iCs/>
              </w:rPr>
              <w:t>,</w:t>
            </w:r>
            <w:r>
              <w:t xml:space="preserve"> including background at three reading levels, opinion quotes and summaries, teaching activities, and additional resources, can be found at </w:t>
            </w:r>
            <w:hyperlink r:id="rId64" w:history="1">
              <w:r w:rsidRPr="00E73DD3">
                <w:rPr>
                  <w:rStyle w:val="Hyperlink"/>
                  <w:color w:val="auto"/>
                </w:rPr>
                <w:t>https://www.landmarkcases.org/</w:t>
              </w:r>
            </w:hyperlink>
            <w:r w:rsidRPr="00E73DD3">
              <w:t>.</w:t>
            </w:r>
          </w:p>
        </w:tc>
      </w:tr>
    </w:tbl>
    <w:p w14:paraId="55786F47" w14:textId="77777777" w:rsidR="00E12D32" w:rsidRDefault="00E12D32" w:rsidP="00F52825">
      <w:pPr>
        <w:pStyle w:val="Basiccopysl"/>
      </w:pPr>
    </w:p>
    <w:p w14:paraId="0851D189" w14:textId="77777777" w:rsidR="00E12D32" w:rsidRPr="00F42CDF" w:rsidRDefault="00E12D32" w:rsidP="00F52825">
      <w:pPr>
        <w:pStyle w:val="Basiccopysl"/>
      </w:pPr>
    </w:p>
    <w:p w14:paraId="0E1C28CA" w14:textId="77777777" w:rsidR="00E12D32" w:rsidRDefault="00E12D32" w:rsidP="00F52825">
      <w:pPr>
        <w:pStyle w:val="Heading1"/>
        <w:spacing w:line="276" w:lineRule="auto"/>
        <w:sectPr w:rsidR="00E12D32" w:rsidSect="00F42CDF">
          <w:headerReference w:type="default" r:id="rId65"/>
          <w:footerReference w:type="default" r:id="rId66"/>
          <w:headerReference w:type="first" r:id="rId67"/>
          <w:footerReference w:type="first" r:id="rId68"/>
          <w:footnotePr>
            <w:numFmt w:val="chicago"/>
          </w:footnotePr>
          <w:pgSz w:w="12240" w:h="15840"/>
          <w:pgMar w:top="1440" w:right="1440" w:bottom="1440" w:left="1440" w:header="720" w:footer="720" w:gutter="0"/>
          <w:cols w:space="720"/>
          <w:titlePg/>
          <w:docGrid w:linePitch="360"/>
        </w:sectPr>
      </w:pPr>
    </w:p>
    <w:p w14:paraId="75978342" w14:textId="77777777" w:rsidR="00F52825" w:rsidRPr="00810E29" w:rsidRDefault="00F52825" w:rsidP="00F52825">
      <w:pPr>
        <w:spacing w:after="0"/>
        <w:rPr>
          <w:sz w:val="12"/>
          <w:szCs w:val="10"/>
        </w:rPr>
      </w:pPr>
    </w:p>
    <w:p w14:paraId="0ABDA015" w14:textId="783D0E1E" w:rsidR="00E12D32" w:rsidRPr="00084153" w:rsidRDefault="00E12D32" w:rsidP="00CC30C5">
      <w:pPr>
        <w:pStyle w:val="Heading1"/>
      </w:pPr>
      <w:bookmarkStart w:id="20" w:name="_Toc80619883"/>
      <w:r w:rsidRPr="00F52825">
        <w:t>United States v. Lopez</w:t>
      </w:r>
      <w:r>
        <w:t xml:space="preserve"> </w:t>
      </w:r>
      <w:r w:rsidRPr="00CC30C5">
        <w:rPr>
          <w:i w:val="0"/>
          <w:iCs w:val="0"/>
        </w:rPr>
        <w:t>(1995)</w:t>
      </w:r>
      <w:bookmarkEnd w:id="20"/>
    </w:p>
    <w:p w14:paraId="27B30A31" w14:textId="77777777" w:rsidR="00E12D32" w:rsidRPr="00ED7038" w:rsidRDefault="00E12D32" w:rsidP="00F52825">
      <w:pPr>
        <w:pStyle w:val="Argueddecideddatessl"/>
        <w:spacing w:after="120"/>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14:paraId="1A9AB4FF" w14:textId="77777777" w:rsidR="00E12D32" w:rsidRDefault="00E12D32" w:rsidP="00F52825">
      <w:pPr>
        <w:pStyle w:val="Argueddecideddatessl"/>
        <w:spacing w:after="120"/>
        <w:rPr>
          <w:b w:val="0"/>
        </w:rPr>
      </w:pPr>
      <w:r>
        <w:t>Decided</w:t>
      </w:r>
      <w:r w:rsidRPr="00ED7038">
        <w:t xml:space="preserve">: </w:t>
      </w:r>
      <w:r>
        <w:rPr>
          <w:b w:val="0"/>
        </w:rPr>
        <w:t>April 26, 1995</w:t>
      </w:r>
    </w:p>
    <w:p w14:paraId="3C1E6125" w14:textId="77777777" w:rsidR="00E12D32" w:rsidRPr="00FE7E39" w:rsidRDefault="00E12D32" w:rsidP="00F52825">
      <w:pPr>
        <w:pStyle w:val="Subhead2sl"/>
        <w:spacing w:line="276" w:lineRule="auto"/>
      </w:pPr>
      <w:r w:rsidRPr="00FE7E39">
        <w:t>Background</w:t>
      </w:r>
    </w:p>
    <w:p w14:paraId="74819F5B" w14:textId="73EA862D" w:rsidR="00E12D32" w:rsidRPr="00DA2BC5" w:rsidRDefault="00E12D32" w:rsidP="00F52825">
      <w:pPr>
        <w:pStyle w:val="Basiccopysl"/>
      </w:pPr>
      <w:r w:rsidRPr="00DA2BC5">
        <w:t xml:space="preserve">The U.S. Constitution sets up a system of government in which the federal government and the states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Congress’ powers, including the power to create post offices, raise an army, coin money, and declare war. One of Congress’ broadest powers is the power to regulate commerce among the states</w:t>
      </w:r>
      <w:r w:rsidR="00DD6D1A">
        <w:t>, and m</w:t>
      </w:r>
      <w:r w:rsidRPr="00DA2BC5">
        <w:t xml:space="preserve">any of the laws Congress passes </w:t>
      </w:r>
      <w:r>
        <w:t>depend on</w:t>
      </w:r>
      <w:r w:rsidRPr="00DA2BC5">
        <w:t xml:space="preserve"> this power.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14:paraId="2BCB5AE0" w14:textId="77777777" w:rsidR="00E12D32" w:rsidRPr="00FE7E39" w:rsidRDefault="00E12D32" w:rsidP="00F52825">
      <w:pPr>
        <w:pStyle w:val="Subhead2sl"/>
        <w:spacing w:line="276" w:lineRule="auto"/>
      </w:pPr>
      <w:r w:rsidRPr="00FE7E39">
        <w:t>Facts</w:t>
      </w:r>
    </w:p>
    <w:p w14:paraId="3369FDBF" w14:textId="2DFED65F" w:rsidR="00E12D32" w:rsidRPr="00425657" w:rsidRDefault="00E12D32" w:rsidP="00F52825">
      <w:pPr>
        <w:pStyle w:val="Basiccopysl"/>
      </w:pPr>
      <w:r w:rsidRPr="00425657">
        <w:t>In 1990</w:t>
      </w:r>
      <w:r>
        <w:t>,</w:t>
      </w:r>
      <w:r w:rsidRPr="00425657">
        <w:t xml:space="preserve"> Congress passed the </w:t>
      </w:r>
      <w:r w:rsidRPr="006E3DFC">
        <w:t>Gun</w:t>
      </w:r>
      <w:r w:rsidR="004579B6">
        <w:t>-</w:t>
      </w:r>
      <w:r w:rsidRPr="006E3DFC">
        <w:t>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144A75">
        <w:rPr>
          <w:vertAlign w:val="superscript"/>
        </w:rPr>
        <w:t>th</w:t>
      </w:r>
      <w:r w:rsidR="00C67893">
        <w:t>-</w:t>
      </w:r>
      <w:r w:rsidRPr="00425657">
        <w:t>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agreed with Lopez and reversed his conviction. The U</w:t>
      </w:r>
      <w:r w:rsidR="004579B6">
        <w:rPr>
          <w:shd w:val="clear" w:color="auto" w:fill="FFFFFF"/>
        </w:rPr>
        <w:t>.</w:t>
      </w:r>
      <w:r w:rsidRPr="00425657">
        <w:rPr>
          <w:shd w:val="clear" w:color="auto" w:fill="FFFFFF"/>
        </w:rPr>
        <w:t>S</w:t>
      </w:r>
      <w:r w:rsidR="004579B6">
        <w:rPr>
          <w:shd w:val="clear" w:color="auto" w:fill="FFFFFF"/>
        </w:rPr>
        <w:t>.</w:t>
      </w:r>
      <w:r w:rsidRPr="00425657">
        <w:rPr>
          <w:shd w:val="clear" w:color="auto" w:fill="FFFFFF"/>
        </w:rPr>
        <w:t xml:space="preserve">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w:t>
      </w:r>
      <w:r w:rsidR="004579B6">
        <w:rPr>
          <w:shd w:val="clear" w:color="auto" w:fill="FFFFFF"/>
        </w:rPr>
        <w:t xml:space="preserve">, and the </w:t>
      </w:r>
      <w:r>
        <w:rPr>
          <w:shd w:val="clear" w:color="auto" w:fill="FFFFFF"/>
        </w:rPr>
        <w:t>Court</w:t>
      </w:r>
      <w:r w:rsidRPr="00425657">
        <w:rPr>
          <w:shd w:val="clear" w:color="auto" w:fill="FFFFFF"/>
        </w:rPr>
        <w:t xml:space="preserve"> agreed to </w:t>
      </w:r>
      <w:r>
        <w:rPr>
          <w:shd w:val="clear" w:color="auto" w:fill="FFFFFF"/>
        </w:rPr>
        <w:t>do so</w:t>
      </w:r>
      <w:r w:rsidRPr="00425657">
        <w:rPr>
          <w:shd w:val="clear" w:color="auto" w:fill="FFFFFF"/>
        </w:rPr>
        <w:t>.</w:t>
      </w:r>
    </w:p>
    <w:p w14:paraId="04384EF9" w14:textId="77777777" w:rsidR="00E12D32" w:rsidRPr="00FE7E39" w:rsidRDefault="00E12D32" w:rsidP="00F52825">
      <w:pPr>
        <w:pStyle w:val="Subhead2sl"/>
        <w:spacing w:line="276" w:lineRule="auto"/>
      </w:pPr>
      <w:r w:rsidRPr="00FE7E39">
        <w:t>Issue</w:t>
      </w:r>
    </w:p>
    <w:p w14:paraId="7F3A5DFA" w14:textId="2472CC30" w:rsidR="00E12D32" w:rsidRPr="00DA2BC5" w:rsidRDefault="00E12D32" w:rsidP="00F52825">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w:t>
      </w:r>
      <w:r w:rsidR="004579B6">
        <w:rPr>
          <w:rStyle w:val="MaincopyChar"/>
        </w:rPr>
        <w:t>-</w:t>
      </w:r>
      <w:r w:rsidRPr="006E3DFC">
        <w:rPr>
          <w:rStyle w:val="MaincopyChar"/>
        </w:rPr>
        <w:t>Free School Zones Act</w:t>
      </w:r>
      <w:r w:rsidRPr="00942D9C">
        <w:rPr>
          <w:rStyle w:val="MaincopyChar"/>
        </w:rPr>
        <w:t>?</w:t>
      </w:r>
    </w:p>
    <w:p w14:paraId="7D343082" w14:textId="77777777" w:rsidR="00E12D32" w:rsidRPr="00FE7E39" w:rsidRDefault="00E12D32" w:rsidP="00F52825">
      <w:pPr>
        <w:pStyle w:val="Subhead2sl"/>
        <w:spacing w:line="276" w:lineRule="auto"/>
      </w:pPr>
      <w:r w:rsidRPr="00FE7E39">
        <w:t xml:space="preserve">Constitutional Clauses and </w:t>
      </w:r>
      <w:r>
        <w:t xml:space="preserve">Supreme Court </w:t>
      </w:r>
      <w:r w:rsidRPr="00FE7E39">
        <w:t>Precedents</w:t>
      </w:r>
    </w:p>
    <w:p w14:paraId="5635F29F" w14:textId="3B5B895E" w:rsidR="00E12D32" w:rsidRDefault="00E12D32" w:rsidP="00F52825">
      <w:pPr>
        <w:pStyle w:val="Amendmentprecedentbulletsl"/>
        <w:spacing w:line="276" w:lineRule="auto"/>
      </w:pPr>
      <w:r>
        <w:t xml:space="preserve">Article 1, Section 8, Clause 3 </w:t>
      </w:r>
      <w:r w:rsidR="004579B6">
        <w:t xml:space="preserve">(The Commerce Clause) </w:t>
      </w:r>
      <w:r>
        <w:t>of the U.S. Constitution</w:t>
      </w:r>
    </w:p>
    <w:p w14:paraId="6EA9A04A" w14:textId="2BDF7115" w:rsidR="00E12D32" w:rsidRPr="00FE7E39" w:rsidRDefault="00E12D32" w:rsidP="00F52825">
      <w:pPr>
        <w:pStyle w:val="Indentedbasiccopysl"/>
      </w:pPr>
      <w:r w:rsidRPr="00FE7E39">
        <w:t>“The Congress shall have the power …</w:t>
      </w:r>
      <w:r w:rsidR="004579B6">
        <w:t xml:space="preserve"> </w:t>
      </w:r>
      <w:r w:rsidRPr="00FE7E39">
        <w:t>to regulate Commerce with foreign Nations, and among the several States, and with the Indian Tribes…”</w:t>
      </w:r>
    </w:p>
    <w:p w14:paraId="7C77319D" w14:textId="55524AF9" w:rsidR="00E12D32" w:rsidRDefault="00E12D32" w:rsidP="00F52825">
      <w:pPr>
        <w:pStyle w:val="Amendmentprecedentbulletsl"/>
        <w:spacing w:line="276" w:lineRule="auto"/>
      </w:pPr>
      <w:r w:rsidRPr="00425657">
        <w:t>Article 1, Section 8, Clause 18</w:t>
      </w:r>
      <w:r>
        <w:t xml:space="preserve"> </w:t>
      </w:r>
      <w:r w:rsidR="004579B6">
        <w:t xml:space="preserve">(The Necessary and Proper Clause) </w:t>
      </w:r>
      <w:r>
        <w:t>of the U.S. Constitution</w:t>
      </w:r>
    </w:p>
    <w:p w14:paraId="03B74242" w14:textId="3601F611" w:rsidR="00E12D32" w:rsidRPr="00DA2BC5" w:rsidRDefault="00E12D32" w:rsidP="00F52825">
      <w:pPr>
        <w:pStyle w:val="Indentedbasiccopysl"/>
      </w:pPr>
      <w:r w:rsidRPr="00FE7E39">
        <w:t>“The Congress shall have the power …</w:t>
      </w:r>
      <w:r w:rsidR="004579B6">
        <w:t xml:space="preserve"> </w:t>
      </w:r>
      <w:r w:rsidRPr="00FE7E39">
        <w:t xml:space="preserve">to make all laws which shall be necessary and proper for carrying into execution the foregoing powers, and all other powers vested by this </w:t>
      </w:r>
      <w:r w:rsidRPr="00FE7E39">
        <w:lastRenderedPageBreak/>
        <w:t xml:space="preserve">Constitution in the Government of the United States, or in any Department or Officer thereof.” </w:t>
      </w:r>
    </w:p>
    <w:p w14:paraId="287598F2" w14:textId="77777777" w:rsidR="00E12D32" w:rsidRPr="008906FE" w:rsidRDefault="00E12D32" w:rsidP="00F52825">
      <w:pPr>
        <w:pStyle w:val="Amendmentprecedentbulletsl"/>
        <w:spacing w:line="276" w:lineRule="auto"/>
        <w:rPr>
          <w:b w:val="0"/>
          <w:bCs/>
        </w:rPr>
      </w:pPr>
      <w:r w:rsidRPr="008906FE">
        <w:rPr>
          <w:b w:val="0"/>
          <w:bCs/>
          <w:i/>
        </w:rPr>
        <w:t>Wickard v. Filburn</w:t>
      </w:r>
      <w:r w:rsidRPr="008906FE">
        <w:rPr>
          <w:b w:val="0"/>
          <w:bCs/>
        </w:rPr>
        <w:t xml:space="preserve"> (1942)</w:t>
      </w:r>
    </w:p>
    <w:p w14:paraId="427953E1" w14:textId="4359025E" w:rsidR="00E12D32" w:rsidRPr="00425657" w:rsidRDefault="00E12D32" w:rsidP="00F52825">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14:paraId="4393C205" w14:textId="062E9EFA" w:rsidR="00E12D32" w:rsidRPr="008906FE" w:rsidRDefault="00E12D32" w:rsidP="00F52825">
      <w:pPr>
        <w:pStyle w:val="Amendmentprecedentbulletsl"/>
        <w:spacing w:line="276" w:lineRule="auto"/>
        <w:rPr>
          <w:b w:val="0"/>
          <w:bCs/>
        </w:rPr>
      </w:pPr>
      <w:r w:rsidRPr="008906FE">
        <w:rPr>
          <w:b w:val="0"/>
          <w:bCs/>
          <w:i/>
        </w:rPr>
        <w:t>Heart of Atlanta Motel v. U</w:t>
      </w:r>
      <w:r w:rsidR="004579B6" w:rsidRPr="008906FE">
        <w:rPr>
          <w:b w:val="0"/>
          <w:bCs/>
          <w:i/>
        </w:rPr>
        <w:t xml:space="preserve">nites </w:t>
      </w:r>
      <w:r w:rsidRPr="008906FE">
        <w:rPr>
          <w:b w:val="0"/>
          <w:bCs/>
          <w:i/>
        </w:rPr>
        <w:t>S</w:t>
      </w:r>
      <w:r w:rsidR="004579B6" w:rsidRPr="008906FE">
        <w:rPr>
          <w:b w:val="0"/>
          <w:bCs/>
          <w:i/>
        </w:rPr>
        <w:t>tates</w:t>
      </w:r>
      <w:r w:rsidRPr="008906FE">
        <w:rPr>
          <w:b w:val="0"/>
          <w:bCs/>
        </w:rPr>
        <w:t xml:space="preserve"> (1964)</w:t>
      </w:r>
    </w:p>
    <w:p w14:paraId="16870725" w14:textId="00C1CDA9" w:rsidR="00E12D32" w:rsidRPr="00425657" w:rsidRDefault="00E12D32" w:rsidP="00F52825">
      <w:pPr>
        <w:pStyle w:val="Indentedbasiccopysl"/>
      </w:pPr>
      <w:r w:rsidRPr="00425657">
        <w:t xml:space="preserve">The </w:t>
      </w:r>
      <w:r w:rsidRPr="006E3DFC">
        <w:t>Civil Rights Act of 1964</w:t>
      </w:r>
      <w:r w:rsidRPr="00942D9C">
        <w:t xml:space="preserve"> </w:t>
      </w:r>
      <w:r w:rsidRPr="00425657">
        <w:t xml:space="preserve">made racial discrimination in public places, including hotels, illegal. An Atlanta hotel </w:t>
      </w:r>
      <w:r w:rsidR="004579B6">
        <w:t xml:space="preserve">that </w:t>
      </w:r>
      <w:r w:rsidRPr="00425657">
        <w:t xml:space="preserve">refused to serve </w:t>
      </w:r>
      <w:r w:rsidR="004579B6">
        <w:t>African American</w:t>
      </w:r>
      <w:r w:rsidRPr="00425657">
        <w:t xml:space="preserve"> customers</w:t>
      </w:r>
      <w:r w:rsidR="004579B6">
        <w:t xml:space="preserve"> </w:t>
      </w:r>
      <w:r w:rsidRPr="00425657">
        <w:t>argued that Congress did</w:t>
      </w:r>
      <w:r>
        <w:t xml:space="preserve"> </w:t>
      </w:r>
      <w:r w:rsidRPr="00425657">
        <w:t>n</w:t>
      </w:r>
      <w:r>
        <w:t>o</w:t>
      </w:r>
      <w:r w:rsidRPr="00425657">
        <w:t xml:space="preserve">t have the power to pass the </w:t>
      </w:r>
      <w:r w:rsidR="004579B6">
        <w:t>Act</w:t>
      </w:r>
      <w:r w:rsidR="004579B6" w:rsidRPr="00425657">
        <w:t xml:space="preserve"> </w:t>
      </w:r>
      <w:r w:rsidRPr="00425657">
        <w:t xml:space="preserve">under the </w:t>
      </w:r>
      <w:r>
        <w:t>C</w:t>
      </w:r>
      <w:r w:rsidRPr="00425657">
        <w:t xml:space="preserve">ommerce </w:t>
      </w:r>
      <w:r>
        <w:t>C</w:t>
      </w:r>
      <w:r w:rsidRPr="00425657">
        <w:t>lause. The Supreme Court ruled against the hotel, concluding that “commerce” includes travel from state to state and that racial discrimination in hotels can affect travel from state to state. Congress can</w:t>
      </w:r>
      <w:r w:rsidR="009B4358">
        <w:t>,</w:t>
      </w:r>
      <w:r w:rsidRPr="00425657">
        <w:t xml:space="preserve"> therefore</w:t>
      </w:r>
      <w:r w:rsidR="009B4358">
        <w:t>,</w:t>
      </w:r>
      <w:r w:rsidRPr="00425657">
        <w:t xml:space="preserve"> prohibit discrimination in hotels because, in the aggregate, it affects interstate commerce. </w:t>
      </w:r>
    </w:p>
    <w:p w14:paraId="5529DB4D" w14:textId="77777777" w:rsidR="00E12D32" w:rsidRPr="00FE7E39" w:rsidRDefault="00E12D32" w:rsidP="00F52825">
      <w:pPr>
        <w:pStyle w:val="Subhead2sl"/>
        <w:spacing w:line="276" w:lineRule="auto"/>
      </w:pPr>
      <w:r w:rsidRPr="00FE7E39">
        <w:t>Arguments for the United States</w:t>
      </w:r>
      <w:r>
        <w:t xml:space="preserve"> (petitioner)</w:t>
      </w:r>
    </w:p>
    <w:p w14:paraId="41CEF00A" w14:textId="0A5D098E" w:rsidR="00E12D32" w:rsidRPr="00425657" w:rsidRDefault="00E12D32" w:rsidP="00F52825">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w:t>
      </w:r>
      <w:r w:rsidR="009B4358">
        <w:t xml:space="preserve"> ruled in </w:t>
      </w:r>
      <w:r w:rsidRPr="00425657">
        <w:rPr>
          <w:i/>
        </w:rPr>
        <w:t xml:space="preserve">Wickard </w:t>
      </w:r>
      <w:r w:rsidRPr="00425657">
        <w:t xml:space="preserve">and </w:t>
      </w:r>
      <w:r w:rsidRPr="00425657">
        <w:rPr>
          <w:i/>
        </w:rPr>
        <w:t>Heart of Atlanta Motel</w:t>
      </w:r>
      <w:r w:rsidR="009B4358">
        <w:rPr>
          <w:i/>
        </w:rPr>
        <w:t xml:space="preserve"> </w:t>
      </w:r>
      <w:r w:rsidRPr="00425657">
        <w:t>that Congress can regulate things that are not by themselves interstate commerce if, when accumulated together, they affect interstate commerce</w:t>
      </w:r>
      <w:r>
        <w:t>.</w:t>
      </w:r>
    </w:p>
    <w:p w14:paraId="3ADB8C05" w14:textId="77777777" w:rsidR="00E12D32" w:rsidRPr="00425657" w:rsidRDefault="00E12D32" w:rsidP="00F52825">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14:paraId="1397743C" w14:textId="2E443E1D" w:rsidR="00E12D32" w:rsidRPr="00425657" w:rsidRDefault="00E12D32" w:rsidP="00F52825">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14:paraId="3452E229" w14:textId="77777777" w:rsidR="00E12D32" w:rsidRPr="00425657" w:rsidRDefault="00E12D32" w:rsidP="00F52825">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14:paraId="6ABB19DB" w14:textId="448DE2EB" w:rsidR="00E12D32" w:rsidRPr="00DA2BC5" w:rsidRDefault="00E12D32" w:rsidP="00F52825">
      <w:pPr>
        <w:pStyle w:val="Bulletsl"/>
        <w:spacing w:line="276" w:lineRule="auto"/>
      </w:pPr>
      <w:r w:rsidRPr="00425657">
        <w:lastRenderedPageBreak/>
        <w:t>The GFSZA does not encroach on state authority</w:t>
      </w:r>
      <w:r w:rsidR="009B4358">
        <w:t>,</w:t>
      </w:r>
      <w:r w:rsidRPr="00425657">
        <w:t xml:space="preserve">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14:paraId="26DBD408" w14:textId="77777777" w:rsidR="00E12D32" w:rsidRPr="00FE7E39" w:rsidRDefault="00E12D32" w:rsidP="00F52825">
      <w:pPr>
        <w:pStyle w:val="Subhead2sl"/>
        <w:spacing w:line="276" w:lineRule="auto"/>
      </w:pPr>
      <w:r w:rsidRPr="00FE7E39">
        <w:t>Arguments for Lopez</w:t>
      </w:r>
      <w:r>
        <w:t xml:space="preserve"> (respondent)</w:t>
      </w:r>
    </w:p>
    <w:p w14:paraId="5A61F8D8" w14:textId="77777777" w:rsidR="00E12D32" w:rsidRPr="00425657" w:rsidRDefault="00E12D32" w:rsidP="00F52825">
      <w:pPr>
        <w:pStyle w:val="Bulletsl"/>
        <w:spacing w:line="276" w:lineRule="auto"/>
      </w:pPr>
      <w:r w:rsidRPr="00425657">
        <w:t xml:space="preserve">The </w:t>
      </w:r>
      <w:bookmarkStart w:id="21" w:name="_Hlk66286178"/>
      <w:r w:rsidRPr="00425657">
        <w:t>GFSZA</w:t>
      </w:r>
      <w:bookmarkEnd w:id="21"/>
      <w:r w:rsidRPr="00425657">
        <w:t xml:space="preserve">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14:paraId="7B944A4F" w14:textId="56CD5095" w:rsidR="00E12D32" w:rsidRPr="00425657" w:rsidRDefault="00E12D32" w:rsidP="00F52825">
      <w:pPr>
        <w:pStyle w:val="Bulletsl"/>
        <w:spacing w:line="276" w:lineRule="auto"/>
      </w:pPr>
      <w:r w:rsidRPr="00425657">
        <w:t xml:space="preserve">The </w:t>
      </w:r>
      <w:r w:rsidR="009B4358" w:rsidRPr="009B4358">
        <w:t>GFSZA</w:t>
      </w:r>
      <w:r w:rsidR="009B4358" w:rsidRPr="009B4358" w:rsidDel="009B4358">
        <w:t xml:space="preserve"> </w:t>
      </w:r>
      <w:r w:rsidRPr="00425657">
        <w:t xml:space="preserve">is not like the law at issue in </w:t>
      </w:r>
      <w:r>
        <w:rPr>
          <w:i/>
        </w:rPr>
        <w:t xml:space="preserve">Wickard,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14:paraId="02F3C2B9" w14:textId="77777777" w:rsidR="00E12D32" w:rsidRPr="00425657" w:rsidRDefault="00E12D32" w:rsidP="00F52825">
      <w:pPr>
        <w:pStyle w:val="Bulletsl"/>
        <w:spacing w:line="276" w:lineRule="auto"/>
      </w:pPr>
      <w:r w:rsidRPr="00425657">
        <w:t>Mere possession of a gun at or near a school is not a form of commerce and does not involve more than one state.</w:t>
      </w:r>
    </w:p>
    <w:p w14:paraId="5C81D6CC" w14:textId="77777777" w:rsidR="00E12D32" w:rsidRPr="00425657" w:rsidRDefault="00E12D32" w:rsidP="00F52825">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14:paraId="7C1A34AA" w14:textId="7D78E123" w:rsidR="00E12D32" w:rsidRPr="00425657" w:rsidRDefault="00E12D32" w:rsidP="00F52825">
      <w:pPr>
        <w:pStyle w:val="Bulletsl"/>
        <w:spacing w:line="276" w:lineRule="auto"/>
      </w:pPr>
      <w:r w:rsidRPr="00425657">
        <w:t>The Constitution limited Congress’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w:t>
      </w:r>
      <w:r w:rsidR="00462097" w:rsidRPr="00425657">
        <w:t>anything,</w:t>
      </w:r>
      <w:r w:rsidRPr="00425657">
        <w:t xml:space="preserve"> and the states will have </w:t>
      </w:r>
      <w:r>
        <w:t>less authority</w:t>
      </w:r>
      <w:r w:rsidRPr="00425657">
        <w:t xml:space="preserve"> to set their own laws. </w:t>
      </w:r>
    </w:p>
    <w:p w14:paraId="14634576" w14:textId="77777777" w:rsidR="00E12D32" w:rsidRPr="00DA2BC5" w:rsidRDefault="00E12D32" w:rsidP="00F52825">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14:paraId="3F6C8254" w14:textId="77777777" w:rsidR="00E12D32" w:rsidRPr="00FE7E39" w:rsidRDefault="00E12D32" w:rsidP="00F52825">
      <w:pPr>
        <w:pStyle w:val="Subhead2sl"/>
        <w:spacing w:line="276" w:lineRule="auto"/>
      </w:pPr>
      <w:r w:rsidRPr="00FE7E39">
        <w:t>Decision</w:t>
      </w:r>
    </w:p>
    <w:p w14:paraId="40D0AEC7" w14:textId="00A49BAB" w:rsidR="00E12D32" w:rsidRPr="00425657" w:rsidRDefault="00E12D32" w:rsidP="00F52825">
      <w:pPr>
        <w:pStyle w:val="Basiccopysl"/>
      </w:pPr>
      <w:r w:rsidRPr="00425657">
        <w:t>The Supreme Court ruled in favor of Lopez, 5</w:t>
      </w:r>
      <w:r w:rsidR="009B4358">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14:paraId="20CDCF1A" w14:textId="45F49FAD" w:rsidR="00E12D32" w:rsidRPr="00425657" w:rsidRDefault="00E12D32" w:rsidP="00F52825">
      <w:pPr>
        <w:pStyle w:val="Basiccopysl"/>
        <w:spacing w:after="0"/>
      </w:pPr>
      <w:r w:rsidRPr="00425657">
        <w:t xml:space="preserve">The Supreme Court ruled that the law exceeded Congress’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14:paraId="128EE4E0" w14:textId="77777777" w:rsidR="00E12D32" w:rsidRPr="00425657" w:rsidRDefault="00E12D32" w:rsidP="00F52825">
      <w:pPr>
        <w:pStyle w:val="Bulletsl"/>
        <w:spacing w:after="0" w:line="276" w:lineRule="auto"/>
      </w:pPr>
      <w:r w:rsidRPr="00425657">
        <w:t>Channels of interstate commerce</w:t>
      </w:r>
      <w:r>
        <w:t xml:space="preserve">, </w:t>
      </w:r>
      <w:r w:rsidRPr="00425657">
        <w:t xml:space="preserve">including highways, waterways, and air traffic. </w:t>
      </w:r>
    </w:p>
    <w:p w14:paraId="0EEF2358" w14:textId="77777777" w:rsidR="00E12D32" w:rsidRPr="00425657" w:rsidRDefault="00E12D32" w:rsidP="00F52825">
      <w:pPr>
        <w:pStyle w:val="Bulletsl"/>
        <w:spacing w:after="0" w:line="276" w:lineRule="auto"/>
      </w:pPr>
      <w:r w:rsidRPr="00425657">
        <w:t>People, machines, and things moving in, or used in carrying out</w:t>
      </w:r>
      <w:r>
        <w:t>,</w:t>
      </w:r>
      <w:r w:rsidRPr="00425657">
        <w:t xml:space="preserve"> interstate commerce. </w:t>
      </w:r>
    </w:p>
    <w:p w14:paraId="072BA2C4" w14:textId="77777777" w:rsidR="00E12D32" w:rsidRDefault="00E12D32" w:rsidP="00F52825">
      <w:pPr>
        <w:pStyle w:val="Bulletsl"/>
        <w:spacing w:line="276" w:lineRule="auto"/>
      </w:pPr>
      <w:r w:rsidRPr="00425657">
        <w:t xml:space="preserve">Economic activities that have a substantial effect on interstate commerce. </w:t>
      </w:r>
    </w:p>
    <w:p w14:paraId="300FEABB" w14:textId="77777777" w:rsidR="00E12D32" w:rsidRPr="00DA2BC5" w:rsidRDefault="00E12D32" w:rsidP="00F52825">
      <w:pPr>
        <w:pStyle w:val="Basiccopysl"/>
      </w:pPr>
      <w:r w:rsidRPr="00425657">
        <w:rPr>
          <w:shd w:val="clear" w:color="auto" w:fill="FFFFFF"/>
        </w:rPr>
        <w:lastRenderedPageBreak/>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directly contradicts the principle of limited government and explicit 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14:paraId="6DACE43E" w14:textId="77777777" w:rsidR="00E12D32" w:rsidRPr="00DA2BC5" w:rsidRDefault="00E12D32" w:rsidP="00F52825">
      <w:pPr>
        <w:pStyle w:val="Subhead3sl"/>
      </w:pPr>
      <w:r w:rsidRPr="00DA2BC5">
        <w:t>Dissent</w:t>
      </w:r>
    </w:p>
    <w:p w14:paraId="1CBD1656" w14:textId="77777777" w:rsidR="00E12D32" w:rsidRDefault="00E12D32" w:rsidP="00F52825">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14:paraId="1D0EA5CE" w14:textId="77777777" w:rsidR="00E12D32" w:rsidRDefault="00E12D32" w:rsidP="00F52825">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14:paraId="55FB8B07" w14:textId="3101F3E2" w:rsidR="00E12D32" w:rsidRDefault="00E12D32" w:rsidP="00F52825">
      <w:pPr>
        <w:pStyle w:val="Basiccopysl"/>
      </w:pPr>
      <w:r>
        <w:t xml:space="preserve">Justice Souter’s separate dissent emphasized his view that the courts should defer to Congress’ informed judgment about the potential economic effects of activity that Congress seeks to regulate, so long as there is a “rational basis” for the judgment that Congress has made. </w:t>
      </w:r>
    </w:p>
    <w:p w14:paraId="32F5FF3E" w14:textId="1DCF93C3" w:rsidR="00930A80" w:rsidRDefault="00930A80" w:rsidP="00930A80">
      <w:pPr>
        <w:pStyle w:val="Subhead2sl"/>
      </w:pPr>
      <w:r>
        <w:t>Impact</w:t>
      </w:r>
    </w:p>
    <w:p w14:paraId="4A7DFCB3" w14:textId="31FD7CCB" w:rsidR="00930A80" w:rsidRPr="00930A80" w:rsidRDefault="00930A80" w:rsidP="00930A80">
      <w:pPr>
        <w:pStyle w:val="Basiccopysl"/>
      </w:pPr>
      <w:r w:rsidRPr="00930A80">
        <w:t xml:space="preserve">Following the Court’s decision, Congress revised the GFSZA in June 1995. These changes require </w:t>
      </w:r>
      <w:r>
        <w:t xml:space="preserve">that when the government prosecutes someone under the GFSZA, it must </w:t>
      </w:r>
      <w:r w:rsidRPr="00930A80">
        <w:t>prove that at least one of the guns involved in the crime moved in or affected interstate commerce. Since the GFSZA was rewritten, courts across the country have upheld it.</w:t>
      </w:r>
    </w:p>
    <w:p w14:paraId="5F80F50B" w14:textId="0195A94D" w:rsidR="00930A80" w:rsidRPr="00930A80" w:rsidRDefault="00930A80" w:rsidP="00930A80">
      <w:pPr>
        <w:pStyle w:val="Basiccopysl"/>
      </w:pPr>
      <w:r w:rsidRPr="00930A80">
        <w:rPr>
          <w:i/>
          <w:iCs/>
        </w:rPr>
        <w:t>United States v. Lopez</w:t>
      </w:r>
      <w:r w:rsidRPr="00930A80">
        <w:t xml:space="preserve"> is important because it was the first time since 1937 that the Court held that Congress surpassed its powers under the Commerce Clause. </w:t>
      </w:r>
      <w:r w:rsidRPr="00E07FB2">
        <w:rPr>
          <w:i/>
          <w:iCs/>
        </w:rPr>
        <w:t>Lopez</w:t>
      </w:r>
      <w:r w:rsidRPr="00930A80">
        <w:t xml:space="preserve"> is considered to be the beginning of a new phase of federalism that strengthened the role of state and local governments in lawmaking sometimes called the “Devolution Revolution.”</w:t>
      </w:r>
    </w:p>
    <w:p w14:paraId="3F645976" w14:textId="77777777" w:rsidR="00930A80" w:rsidRPr="00425657" w:rsidRDefault="00930A80" w:rsidP="00F52825">
      <w:pPr>
        <w:pStyle w:val="Basiccopysl"/>
      </w:pPr>
    </w:p>
    <w:p w14:paraId="2E11786A" w14:textId="77777777" w:rsidR="00E12D32" w:rsidRPr="00ED7038" w:rsidRDefault="00E12D32" w:rsidP="00F52825">
      <w:pPr>
        <w:pStyle w:val="Basiccopysl"/>
      </w:pPr>
    </w:p>
    <w:p w14:paraId="236246B3" w14:textId="77777777" w:rsidR="00E12D32" w:rsidRDefault="00E12D32" w:rsidP="00F52825">
      <w:pPr>
        <w:pStyle w:val="Heading1"/>
        <w:spacing w:line="276" w:lineRule="auto"/>
        <w:sectPr w:rsidR="00E12D32" w:rsidSect="00F42CDF">
          <w:headerReference w:type="default" r:id="rId69"/>
          <w:footerReference w:type="default" r:id="rId70"/>
          <w:headerReference w:type="first" r:id="rId71"/>
          <w:footerReference w:type="first" r:id="rId72"/>
          <w:footnotePr>
            <w:numFmt w:val="chicago"/>
          </w:footnotePr>
          <w:pgSz w:w="12240" w:h="15840"/>
          <w:pgMar w:top="1440" w:right="1440" w:bottom="1440" w:left="1440" w:header="720" w:footer="720" w:gutter="0"/>
          <w:cols w:space="720"/>
          <w:titlePg/>
          <w:docGrid w:linePitch="360"/>
        </w:sectPr>
      </w:pPr>
    </w:p>
    <w:p w14:paraId="4DC45DC5" w14:textId="77777777" w:rsidR="002C122A" w:rsidRPr="00810E29" w:rsidRDefault="002C122A" w:rsidP="002C122A">
      <w:pPr>
        <w:spacing w:after="0"/>
        <w:rPr>
          <w:sz w:val="12"/>
          <w:szCs w:val="10"/>
        </w:rPr>
      </w:pPr>
    </w:p>
    <w:p w14:paraId="1E1FD155" w14:textId="0C20571E" w:rsidR="00E12D32" w:rsidRPr="008730AC" w:rsidRDefault="00E12D32" w:rsidP="00CC30C5">
      <w:pPr>
        <w:pStyle w:val="Heading1"/>
      </w:pPr>
      <w:bookmarkStart w:id="22" w:name="_Toc80619884"/>
      <w:r w:rsidRPr="008730AC">
        <w:t xml:space="preserve">Wisconsin v. Yoder </w:t>
      </w:r>
      <w:hyperlink r:id="rId73">
        <w:r w:rsidRPr="00CC30C5">
          <w:rPr>
            <w:i w:val="0"/>
            <w:iCs w:val="0"/>
          </w:rPr>
          <w:t>(1972)</w:t>
        </w:r>
        <w:bookmarkEnd w:id="22"/>
      </w:hyperlink>
    </w:p>
    <w:p w14:paraId="45AE7AFD" w14:textId="77777777" w:rsidR="00E12D32" w:rsidRPr="004B0C6B" w:rsidRDefault="00E12D32" w:rsidP="00F52825">
      <w:pPr>
        <w:pStyle w:val="Basiccopysl"/>
        <w:jc w:val="center"/>
      </w:pPr>
      <w:r w:rsidRPr="004B0C6B">
        <w:rPr>
          <w:b/>
        </w:rPr>
        <w:t>Argued:</w:t>
      </w:r>
      <w:r w:rsidRPr="004B0C6B">
        <w:t xml:space="preserve"> </w:t>
      </w:r>
      <w:r>
        <w:t>December 8, 1971</w:t>
      </w:r>
    </w:p>
    <w:p w14:paraId="51B11A95" w14:textId="77777777" w:rsidR="00E12D32" w:rsidRPr="004B0C6B" w:rsidRDefault="00E12D32" w:rsidP="00F52825">
      <w:pPr>
        <w:pStyle w:val="Basiccopysl"/>
        <w:jc w:val="center"/>
      </w:pPr>
      <w:r w:rsidRPr="004B0C6B">
        <w:rPr>
          <w:b/>
        </w:rPr>
        <w:t>Decided:</w:t>
      </w:r>
      <w:r w:rsidRPr="004B0C6B">
        <w:t xml:space="preserve"> </w:t>
      </w:r>
      <w:r>
        <w:t>May 15, 1972</w:t>
      </w:r>
    </w:p>
    <w:p w14:paraId="1255A00C" w14:textId="77777777" w:rsidR="00E12D32" w:rsidRPr="00256021" w:rsidRDefault="00E12D32" w:rsidP="00F52825">
      <w:pPr>
        <w:pStyle w:val="Subhead2sl"/>
        <w:spacing w:line="276" w:lineRule="auto"/>
      </w:pPr>
      <w:r w:rsidRPr="00256021">
        <w:t>Background</w:t>
      </w:r>
    </w:p>
    <w:p w14:paraId="79E99EA2" w14:textId="0099F04A" w:rsidR="00E12D32" w:rsidRDefault="00E12D32" w:rsidP="00F52825">
      <w:pPr>
        <w:spacing w:line="276" w:lineRule="auto"/>
      </w:pPr>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w:t>
      </w:r>
      <w:r w:rsidR="003401E7">
        <w:t xml:space="preserve">the </w:t>
      </w:r>
      <w:r>
        <w:t>Amish communit</w:t>
      </w:r>
      <w:r w:rsidR="003401E7">
        <w:t>y</w:t>
      </w:r>
      <w:r>
        <w:t xml:space="preserve">. </w:t>
      </w:r>
    </w:p>
    <w:p w14:paraId="1277A87D" w14:textId="1FAE26DF" w:rsidR="00E12D32" w:rsidRDefault="00E12D32" w:rsidP="00F52825">
      <w:pPr>
        <w:spacing w:line="276" w:lineRule="auto"/>
      </w:pPr>
      <w:r>
        <w:t xml:space="preserve">The Amish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w:t>
      </w:r>
      <w:r w:rsidR="00F77172">
        <w:t>home-</w:t>
      </w:r>
      <w:r>
        <w:t>schooling, for their children after the age of 14. For generations th</w:t>
      </w:r>
      <w:r w:rsidR="00F77172">
        <w:t>eir a</w:t>
      </w:r>
      <w:r>
        <w:t>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w:t>
      </w:r>
      <w:r w:rsidR="00F77172">
        <w:t xml:space="preserve">it </w:t>
      </w:r>
      <w:r>
        <w:t xml:space="preserve">created conflict with Old Order Amish practices. </w:t>
      </w:r>
    </w:p>
    <w:p w14:paraId="13876BCD" w14:textId="77777777" w:rsidR="00E12D32" w:rsidRPr="00256021" w:rsidRDefault="00E12D32" w:rsidP="00F52825">
      <w:pPr>
        <w:pStyle w:val="Subhead2sl"/>
        <w:spacing w:line="276" w:lineRule="auto"/>
      </w:pPr>
      <w:r w:rsidRPr="00256021">
        <w:t>Facts</w:t>
      </w:r>
    </w:p>
    <w:p w14:paraId="4D3F4747" w14:textId="65205300" w:rsidR="00E12D32" w:rsidRDefault="00E12D32" w:rsidP="00F52825">
      <w:pPr>
        <w:pStyle w:val="Basiccopysl"/>
      </w:pPr>
      <w:r w:rsidRPr="00256021">
        <w:t xml:space="preserve">The state of Wisconsin convicted three members of Old Order Amish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w:t>
      </w:r>
      <w:r w:rsidR="00156CCC">
        <w:t xml:space="preserve"> </w:t>
      </w:r>
      <w:r w:rsidRPr="00256021">
        <w:t>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14:paraId="0F9E444A" w14:textId="0A650ADF" w:rsidR="00E12D32" w:rsidRPr="00256021" w:rsidRDefault="00E12D32" w:rsidP="00F52825">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 xml:space="preserve">ourt for their </w:t>
      </w:r>
      <w:r w:rsidR="00156CCC">
        <w:t xml:space="preserve">children’s </w:t>
      </w:r>
      <w:r w:rsidRPr="002302F9">
        <w:t>truancy</w:t>
      </w:r>
      <w:r>
        <w:t xml:space="preserve"> (failure to attend compulsory schooling). They were</w:t>
      </w:r>
      <w:r w:rsidRPr="002302F9">
        <w:t xml:space="preserve"> required to pay a five</w:t>
      </w:r>
      <w:r w:rsidR="003401E7">
        <w:t>-</w:t>
      </w:r>
      <w:r w:rsidRPr="002302F9">
        <w:t>dollar fine, which they refused to do as a matter of conscience.</w:t>
      </w:r>
      <w:r>
        <w:t xml:space="preserve"> The Yoders </w:t>
      </w:r>
      <w:r w:rsidR="00156CCC">
        <w:t xml:space="preserve">and the other families </w:t>
      </w:r>
      <w:r>
        <w:t>appealed to</w:t>
      </w:r>
      <w:r w:rsidRPr="00A568E1">
        <w:t xml:space="preserve"> </w:t>
      </w:r>
      <w:r>
        <w:t>t</w:t>
      </w:r>
      <w:r w:rsidRPr="002302F9">
        <w:t>he</w:t>
      </w:r>
      <w:r>
        <w:t xml:space="preserve"> </w:t>
      </w:r>
      <w:r w:rsidRPr="00E04B3E">
        <w:t>Wisconsin Supreme Court</w:t>
      </w:r>
      <w:r>
        <w:t xml:space="preserve"> on the grounds that their First Amendment free exercise rights were violated.</w:t>
      </w:r>
      <w:r w:rsidRPr="00E04B3E">
        <w:t xml:space="preserve"> </w:t>
      </w:r>
      <w:r>
        <w:t xml:space="preserve">The state Supreme Court agreed and reversed </w:t>
      </w:r>
      <w:r w:rsidRPr="002302F9">
        <w:t xml:space="preserve">the </w:t>
      </w:r>
      <w:r>
        <w:t xml:space="preserve">Circuit Court’s decision, ruling in favor </w:t>
      </w:r>
      <w:r>
        <w:lastRenderedPageBreak/>
        <w:t>of</w:t>
      </w:r>
      <w:r w:rsidR="00156CCC">
        <w:t xml:space="preserve"> the</w:t>
      </w:r>
      <w:r>
        <w:t xml:space="preserve"> Yoder</w:t>
      </w:r>
      <w:r w:rsidR="00156CCC">
        <w:t>s</w:t>
      </w:r>
      <w:r>
        <w:t>. The state of Wisconsin sought review by the U.S. Supreme Court, which agreed to hear the case.</w:t>
      </w:r>
    </w:p>
    <w:p w14:paraId="45AE8806" w14:textId="77777777" w:rsidR="00E12D32" w:rsidRPr="008F19CB" w:rsidRDefault="00E12D32" w:rsidP="00F52825">
      <w:pPr>
        <w:pStyle w:val="Subhead2sl"/>
        <w:spacing w:line="276" w:lineRule="auto"/>
      </w:pPr>
      <w:r w:rsidRPr="008F19CB">
        <w:t xml:space="preserve">Issue </w:t>
      </w:r>
    </w:p>
    <w:p w14:paraId="53A53069" w14:textId="77777777" w:rsidR="00E12D32" w:rsidRDefault="00E12D32" w:rsidP="00F52825">
      <w:pPr>
        <w:pStyle w:val="Basiccopysl"/>
      </w:pPr>
      <w:r>
        <w:t>Under what conditions does the state’s interest in promoting compulsory education override parents’ First Amendment right to free exercise of religion?</w:t>
      </w:r>
    </w:p>
    <w:p w14:paraId="033F0B02" w14:textId="77777777" w:rsidR="00E12D32" w:rsidRDefault="00E12D32" w:rsidP="00F52825">
      <w:pPr>
        <w:pStyle w:val="Subhead2sl"/>
        <w:spacing w:line="276" w:lineRule="auto"/>
      </w:pPr>
      <w:r>
        <w:t>Constitutional Amendments and Supreme Court Precedents</w:t>
      </w:r>
    </w:p>
    <w:p w14:paraId="2495FD8E" w14:textId="77777777" w:rsidR="00E12D32" w:rsidRPr="004B0C6B" w:rsidRDefault="00E12D32" w:rsidP="00F52825">
      <w:pPr>
        <w:pStyle w:val="Bulletsl"/>
        <w:spacing w:before="240" w:line="276" w:lineRule="auto"/>
        <w:rPr>
          <w:b/>
        </w:rPr>
      </w:pPr>
      <w:r>
        <w:rPr>
          <w:b/>
        </w:rPr>
        <w:t xml:space="preserve">First Amendment to the </w:t>
      </w:r>
      <w:r w:rsidRPr="004B0C6B">
        <w:rPr>
          <w:b/>
        </w:rPr>
        <w:t xml:space="preserve">U.S. Constitution </w:t>
      </w:r>
    </w:p>
    <w:p w14:paraId="292D0269" w14:textId="77777777" w:rsidR="00E12D32" w:rsidRDefault="00E12D32" w:rsidP="00F52825">
      <w:pPr>
        <w:pStyle w:val="Bulletsl"/>
        <w:numPr>
          <w:ilvl w:val="0"/>
          <w:numId w:val="0"/>
        </w:numPr>
        <w:spacing w:line="276" w:lineRule="auto"/>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14:paraId="3EC24E1C" w14:textId="77777777" w:rsidR="00E12D32" w:rsidRPr="004B0C6B" w:rsidRDefault="00E12D32" w:rsidP="00F52825">
      <w:pPr>
        <w:pStyle w:val="Bulletsl"/>
        <w:spacing w:before="240" w:line="276" w:lineRule="auto"/>
        <w:rPr>
          <w:b/>
        </w:rPr>
      </w:pPr>
      <w:r>
        <w:rPr>
          <w:b/>
        </w:rPr>
        <w:t>14</w:t>
      </w:r>
      <w:r w:rsidRPr="0070082E">
        <w:rPr>
          <w:b/>
          <w:vertAlign w:val="superscript"/>
        </w:rPr>
        <w:t>th</w:t>
      </w:r>
      <w:r>
        <w:rPr>
          <w:b/>
        </w:rPr>
        <w:t xml:space="preserve"> Amendment to the </w:t>
      </w:r>
      <w:r w:rsidRPr="004B0C6B">
        <w:rPr>
          <w:b/>
        </w:rPr>
        <w:t xml:space="preserve">U.S. Constitution </w:t>
      </w:r>
    </w:p>
    <w:p w14:paraId="3F3B6B74" w14:textId="77777777" w:rsidR="00E12D32" w:rsidRPr="004B0C6B" w:rsidRDefault="00E12D32" w:rsidP="00F52825">
      <w:pPr>
        <w:pStyle w:val="Bulletsl"/>
        <w:numPr>
          <w:ilvl w:val="0"/>
          <w:numId w:val="0"/>
        </w:numPr>
        <w:spacing w:line="276" w:lineRule="auto"/>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14:paraId="65960E77" w14:textId="77777777" w:rsidR="00E12D32" w:rsidRPr="008906FE" w:rsidRDefault="00E12D32" w:rsidP="00F52825">
      <w:pPr>
        <w:pStyle w:val="Bulletsl"/>
        <w:spacing w:before="240" w:line="276" w:lineRule="auto"/>
        <w:rPr>
          <w:bCs/>
        </w:rPr>
      </w:pPr>
      <w:r w:rsidRPr="008906FE">
        <w:rPr>
          <w:bCs/>
          <w:i/>
        </w:rPr>
        <w:t>Pierce v. Society of Sisters</w:t>
      </w:r>
      <w:r w:rsidRPr="008906FE">
        <w:rPr>
          <w:bCs/>
        </w:rPr>
        <w:t xml:space="preserve"> (1925) </w:t>
      </w:r>
    </w:p>
    <w:p w14:paraId="48B5D674" w14:textId="55704804" w:rsidR="00E12D32" w:rsidRPr="004B0C6B" w:rsidRDefault="00E12D32" w:rsidP="00F52825">
      <w:pPr>
        <w:pStyle w:val="Bulletsl"/>
        <w:numPr>
          <w:ilvl w:val="0"/>
          <w:numId w:val="0"/>
        </w:numPr>
        <w:spacing w:line="276" w:lineRule="auto"/>
        <w:ind w:left="720"/>
        <w:rPr>
          <w:rFonts w:eastAsia="Roboto" w:cs="Roboto"/>
          <w:color w:val="222222"/>
          <w:highlight w:val="white"/>
        </w:rPr>
      </w:pPr>
      <w:r w:rsidRPr="004B0C6B">
        <w:rPr>
          <w:rFonts w:eastAsia="Roboto" w:cs="Roboto"/>
          <w:color w:val="222222"/>
          <w:highlight w:val="white"/>
        </w:rPr>
        <w:t>Oregon had banned private school attendance in an effort to eliminate religious schools, and</w:t>
      </w:r>
      <w:r w:rsidR="00156CCC">
        <w:rPr>
          <w:rFonts w:eastAsia="Roboto" w:cs="Roboto"/>
          <w:color w:val="222222"/>
          <w:highlight w:val="white"/>
        </w:rPr>
        <w:t xml:space="preserve"> it</w:t>
      </w:r>
      <w:r w:rsidRPr="004B0C6B">
        <w:rPr>
          <w:rFonts w:eastAsia="Roboto" w:cs="Roboto"/>
          <w:color w:val="222222"/>
          <w:highlight w:val="white"/>
        </w:rPr>
        <w:t xml:space="preserve">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w:t>
      </w:r>
      <w:r w:rsidRPr="00144A75">
        <w:rPr>
          <w:rFonts w:eastAsia="Roboto" w:cs="Roboto"/>
          <w:color w:val="222222"/>
          <w:highlight w:val="white"/>
          <w:vertAlign w:val="superscript"/>
        </w:rPr>
        <w:t>th</w:t>
      </w:r>
      <w:r w:rsidRPr="004B0C6B">
        <w:rPr>
          <w:rFonts w:eastAsia="Roboto" w:cs="Roboto"/>
          <w:color w:val="222222"/>
          <w:highlight w:val="white"/>
        </w:rPr>
        <w:t xml:space="preserve">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w:t>
      </w:r>
      <w:r w:rsidR="00156CCC">
        <w:rPr>
          <w:rFonts w:eastAsia="Roboto" w:cs="Roboto"/>
          <w:color w:val="222222"/>
          <w:highlight w:val="white"/>
        </w:rPr>
        <w:t xml:space="preserve"> </w:t>
      </w:r>
      <w:r w:rsidRPr="004B0C6B">
        <w:rPr>
          <w:rFonts w:eastAsia="Roboto" w:cs="Roboto"/>
          <w:color w:val="222222"/>
          <w:highlight w:val="white"/>
        </w:rPr>
        <w:t xml:space="preserve">provided education would adequately prepare students, the state could not prevent religious parents or communities from educating students in private schools. </w:t>
      </w:r>
    </w:p>
    <w:p w14:paraId="02F0F736" w14:textId="77777777" w:rsidR="00E12D32" w:rsidRPr="008906FE" w:rsidRDefault="00E12D32" w:rsidP="00F52825">
      <w:pPr>
        <w:pStyle w:val="Bulletsl"/>
        <w:spacing w:before="240" w:line="276" w:lineRule="auto"/>
        <w:rPr>
          <w:bCs/>
          <w:i/>
        </w:rPr>
      </w:pPr>
      <w:r w:rsidRPr="008906FE">
        <w:rPr>
          <w:bCs/>
          <w:i/>
        </w:rPr>
        <w:t xml:space="preserve">Prince v. Massachusetts </w:t>
      </w:r>
      <w:r w:rsidRPr="008906FE">
        <w:rPr>
          <w:bCs/>
          <w:iCs/>
        </w:rPr>
        <w:t>(1944)</w:t>
      </w:r>
    </w:p>
    <w:p w14:paraId="714888A3" w14:textId="48A9F3E3" w:rsidR="00E12D32" w:rsidRPr="004B0C6B" w:rsidRDefault="00E12D32" w:rsidP="00F52825">
      <w:pPr>
        <w:pStyle w:val="Bulletsl"/>
        <w:numPr>
          <w:ilvl w:val="0"/>
          <w:numId w:val="0"/>
        </w:numPr>
        <w:spacing w:line="276" w:lineRule="auto"/>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xml:space="preserve">. </w:t>
      </w:r>
      <w:r w:rsidR="00156CCC">
        <w:rPr>
          <w:rFonts w:eastAsia="Roboto" w:cs="Roboto"/>
          <w:color w:val="222222"/>
          <w:highlight w:val="white"/>
        </w:rPr>
        <w:t>Ms.</w:t>
      </w:r>
      <w:r w:rsidR="00156CCC" w:rsidRPr="004B0C6B">
        <w:rPr>
          <w:rFonts w:eastAsia="Roboto" w:cs="Roboto"/>
          <w:color w:val="222222"/>
          <w:highlight w:val="white"/>
        </w:rPr>
        <w:t xml:space="preserve"> </w:t>
      </w:r>
      <w:r w:rsidRPr="004B0C6B">
        <w:rPr>
          <w:rFonts w:eastAsia="Roboto" w:cs="Roboto"/>
          <w:color w:val="222222"/>
          <w:highlight w:val="white"/>
        </w:rPr>
        <w:t>Prince was a member of the Jehovah’s Witnesses</w:t>
      </w:r>
      <w:r w:rsidR="00156CCC">
        <w:rPr>
          <w:rFonts w:eastAsia="Roboto" w:cs="Roboto"/>
          <w:color w:val="222222"/>
          <w:highlight w:val="white"/>
        </w:rPr>
        <w:t xml:space="preserve"> (</w:t>
      </w:r>
      <w:r w:rsidR="00156CCC" w:rsidRPr="004B0C6B">
        <w:rPr>
          <w:rFonts w:eastAsia="Roboto" w:cs="Roboto"/>
          <w:color w:val="222222"/>
          <w:highlight w:val="white"/>
        </w:rPr>
        <w:t>a religious sect</w:t>
      </w:r>
      <w:r w:rsidR="00156CCC">
        <w:rPr>
          <w:rFonts w:eastAsia="Roboto" w:cs="Roboto"/>
          <w:color w:val="222222"/>
          <w:highlight w:val="white"/>
        </w:rPr>
        <w:t>)</w:t>
      </w:r>
      <w:r w:rsidRPr="004B0C6B">
        <w:rPr>
          <w:rFonts w:eastAsia="Roboto" w:cs="Roboto"/>
          <w:color w:val="222222"/>
          <w:highlight w:val="white"/>
        </w:rPr>
        <w:t xml:space="preserve"> and the aunt and guardian for </w:t>
      </w:r>
      <w:r w:rsidR="00156CCC">
        <w:rPr>
          <w:rFonts w:eastAsia="Roboto" w:cs="Roboto"/>
          <w:color w:val="222222"/>
          <w:highlight w:val="white"/>
        </w:rPr>
        <w:t xml:space="preserve">nine-year-old </w:t>
      </w:r>
      <w:r w:rsidRPr="004B0C6B">
        <w:rPr>
          <w:rFonts w:eastAsia="Roboto" w:cs="Roboto"/>
          <w:color w:val="222222"/>
          <w:highlight w:val="white"/>
        </w:rPr>
        <w:t xml:space="preserve">Betty Simmons.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w:t>
      </w:r>
      <w:r w:rsidRPr="004B0C6B">
        <w:rPr>
          <w:rFonts w:eastAsia="Roboto" w:cs="Roboto"/>
          <w:color w:val="222222"/>
          <w:highlight w:val="white"/>
        </w:rPr>
        <w:lastRenderedPageBreak/>
        <w:t>labor) could override the parents’ free exercise of religion if there was a demonstrated threat to the child’s physical or mental health or to the public order.</w:t>
      </w:r>
    </w:p>
    <w:p w14:paraId="06AED400" w14:textId="77777777" w:rsidR="00E12D32" w:rsidRDefault="00E12D32" w:rsidP="00F52825">
      <w:pPr>
        <w:pStyle w:val="Subhead2sl"/>
        <w:spacing w:line="276" w:lineRule="auto"/>
      </w:pPr>
      <w:r w:rsidRPr="00256021">
        <w:t>Arguments for Wisconsin</w:t>
      </w:r>
      <w:r>
        <w:t xml:space="preserve"> (petitioner)</w:t>
      </w:r>
    </w:p>
    <w:p w14:paraId="7C07B513" w14:textId="77777777" w:rsidR="00E12D32" w:rsidRPr="00F65638" w:rsidRDefault="00E12D32" w:rsidP="00F52825">
      <w:pPr>
        <w:pStyle w:val="Bulletsl"/>
        <w:spacing w:line="276" w:lineRule="auto"/>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14:paraId="4EBA9921" w14:textId="77777777" w:rsidR="00E12D32" w:rsidRPr="00F65638" w:rsidRDefault="00E12D32" w:rsidP="00F52825">
      <w:pPr>
        <w:pStyle w:val="Bulletsl"/>
        <w:spacing w:line="276" w:lineRule="auto"/>
      </w:pPr>
      <w:r w:rsidRPr="00F65638">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14:paraId="6791714F" w14:textId="77777777" w:rsidR="00E12D32" w:rsidRPr="00F65638" w:rsidRDefault="00E12D32" w:rsidP="00F52825">
      <w:pPr>
        <w:pStyle w:val="Bulletsl"/>
        <w:spacing w:line="276" w:lineRule="auto"/>
      </w:pPr>
      <w:r w:rsidRPr="00F65638">
        <w:t>At some point in the future, students may choose to leave the Amish community. In order to avoid being a burden to society, students need to have a full and proper education to be successful outside of the religious community.</w:t>
      </w:r>
    </w:p>
    <w:p w14:paraId="51B4DA3C" w14:textId="77777777" w:rsidR="00E12D32" w:rsidRPr="00F65638" w:rsidRDefault="00E12D32" w:rsidP="00F52825">
      <w:pPr>
        <w:pStyle w:val="Bulletsl"/>
        <w:spacing w:line="276" w:lineRule="auto"/>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14:paraId="22251746" w14:textId="77777777" w:rsidR="00E12D32" w:rsidRPr="00256021" w:rsidRDefault="00E12D32" w:rsidP="00F52825">
      <w:pPr>
        <w:pStyle w:val="Subhead2sl"/>
        <w:spacing w:line="276" w:lineRule="auto"/>
      </w:pPr>
      <w:r w:rsidRPr="00256021">
        <w:t>Arguments for Yoder</w:t>
      </w:r>
      <w:r>
        <w:t xml:space="preserve"> (respondent)</w:t>
      </w:r>
    </w:p>
    <w:p w14:paraId="03FAAC5A" w14:textId="5587A241" w:rsidR="00E12D32" w:rsidRDefault="00E12D32" w:rsidP="00F52825">
      <w:pPr>
        <w:pStyle w:val="Bulletsl"/>
        <w:spacing w:line="276" w:lineRule="auto"/>
      </w:pPr>
      <w:r w:rsidRPr="003C3693">
        <w:t xml:space="preserve">The </w:t>
      </w:r>
      <w:r>
        <w:t>Amish communit</w:t>
      </w:r>
      <w:r w:rsidR="003401E7">
        <w:t xml:space="preserve">y’s </w:t>
      </w:r>
      <w:r w:rsidRPr="003C3693">
        <w:t xml:space="preserve">belief </w:t>
      </w:r>
      <w:r>
        <w:t xml:space="preserve">about the danger of formal education to their religion are sincere. They should not be forced to violate their own religious beliefs. </w:t>
      </w:r>
    </w:p>
    <w:p w14:paraId="42B2BCF5" w14:textId="3AFE1C03" w:rsidR="00E12D32" w:rsidRPr="00077DF1" w:rsidRDefault="00E12D32" w:rsidP="00F52825">
      <w:pPr>
        <w:pStyle w:val="Bulletsl"/>
        <w:spacing w:line="276" w:lineRule="auto"/>
      </w:pPr>
      <w:r w:rsidRPr="003C3693">
        <w:t xml:space="preserve">The Amish community provides an alternative vocational education that prepares children for their adult roles </w:t>
      </w:r>
      <w:r w:rsidR="007B7E1E">
        <w:t xml:space="preserve">within their </w:t>
      </w:r>
      <w:r w:rsidRPr="003C3693">
        <w:t>community</w:t>
      </w:r>
      <w:r>
        <w:t>, so they do not need to send their children to school past eighth grade. That alternative education prepares the Amish to become self-</w:t>
      </w:r>
      <w:r w:rsidRPr="00077DF1">
        <w:t xml:space="preserve">sufficient. </w:t>
      </w:r>
    </w:p>
    <w:p w14:paraId="5E07C8B0" w14:textId="77777777" w:rsidR="00E12D32" w:rsidRPr="00077DF1" w:rsidRDefault="00E12D32" w:rsidP="00F52825">
      <w:pPr>
        <w:pStyle w:val="Bulletsl"/>
        <w:spacing w:line="276" w:lineRule="auto"/>
      </w:pPr>
      <w:r w:rsidRPr="00077DF1">
        <w:t xml:space="preserve">Additional years of compulsory schooling would not better prepare Amish students for their lives of agrarian and manual labor, even if they choose to leave Amish life. </w:t>
      </w:r>
    </w:p>
    <w:p w14:paraId="6BAADEED" w14:textId="4DFD40BF" w:rsidR="00E12D32" w:rsidRPr="00077DF1" w:rsidRDefault="00E12D32" w:rsidP="00F52825">
      <w:pPr>
        <w:pStyle w:val="Bulletsl"/>
        <w:spacing w:line="276" w:lineRule="auto"/>
      </w:pPr>
      <w:r w:rsidRPr="00B84747">
        <w:t>The Amish communit</w:t>
      </w:r>
      <w:r w:rsidR="003401E7">
        <w:t xml:space="preserve">y is </w:t>
      </w:r>
      <w:r w:rsidRPr="00B84747">
        <w:t>law-abiding and ha</w:t>
      </w:r>
      <w:r w:rsidR="003401E7">
        <w:t>s</w:t>
      </w:r>
      <w:r w:rsidRPr="00B84747">
        <w:t xml:space="preserve"> been for centuries. That is evidence that the requirements of citizenship had been met by the Amish without the required additional years of secondary education.</w:t>
      </w:r>
    </w:p>
    <w:p w14:paraId="153725E2" w14:textId="77777777" w:rsidR="00E12D32" w:rsidRPr="00077DF1" w:rsidRDefault="00E12D32" w:rsidP="00F52825">
      <w:pPr>
        <w:pStyle w:val="Bulletsl"/>
        <w:spacing w:line="276" w:lineRule="auto"/>
      </w:pPr>
      <w:r w:rsidRPr="00B84747">
        <w:t xml:space="preserve">Leaving school after eighth grade does not create physical or mental harm to the students and does not disrupt the school or the community. </w:t>
      </w:r>
    </w:p>
    <w:p w14:paraId="7FB50545" w14:textId="77777777" w:rsidR="00E12D32" w:rsidRDefault="00E12D32" w:rsidP="002C122A">
      <w:pPr>
        <w:pStyle w:val="Subhead2sl"/>
        <w:keepNext/>
        <w:spacing w:line="276" w:lineRule="auto"/>
      </w:pPr>
      <w:r>
        <w:lastRenderedPageBreak/>
        <w:t>Decision</w:t>
      </w:r>
    </w:p>
    <w:p w14:paraId="5E9834C8" w14:textId="4185830B" w:rsidR="00E12D32" w:rsidRDefault="00E12D32" w:rsidP="00F52825">
      <w:pPr>
        <w:pStyle w:val="Basiccopysl"/>
      </w:pPr>
      <w:r>
        <w:t>The Court decided the case unanimously, 7</w:t>
      </w:r>
      <w:r w:rsidR="007B7E1E">
        <w:t>-</w:t>
      </w:r>
      <w:r>
        <w:t xml:space="preserve">0, in favor of Yoder. Chief Justice Burger delivered the opinion of the court. Justices Powell and Rehnquist did not take part in the case. Justice Douglas delivered a partial dissent. </w:t>
      </w:r>
    </w:p>
    <w:p w14:paraId="102DBB4B" w14:textId="77777777" w:rsidR="00E12D32" w:rsidRDefault="00E12D32" w:rsidP="00F52825">
      <w:pPr>
        <w:pStyle w:val="Subhead3sl"/>
      </w:pPr>
      <w:r>
        <w:t>Majority</w:t>
      </w:r>
    </w:p>
    <w:p w14:paraId="4576EF88" w14:textId="77777777" w:rsidR="00E12D32" w:rsidRDefault="00E12D32" w:rsidP="00F52825">
      <w:pPr>
        <w:pStyle w:val="Basiccopysl"/>
      </w:pPr>
      <w:r>
        <w:t>The Supreme Court held that the Free Exercise Clause of the First Amendment, as incorporated by the 14</w:t>
      </w:r>
      <w:r w:rsidRPr="00144A75">
        <w:rPr>
          <w:vertAlign w:val="superscript"/>
        </w:rPr>
        <w:t>th</w:t>
      </w:r>
      <w:r>
        <w:t xml:space="preserve"> Amendment, prevented the state of Wisconsin from compelling the respondents to send their children to formal secondary school beyond the age of 14. </w:t>
      </w:r>
    </w:p>
    <w:p w14:paraId="7ED01296" w14:textId="77777777" w:rsidR="00E12D32" w:rsidRDefault="00E12D32" w:rsidP="00F52825">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14:paraId="0F661110" w14:textId="77777777" w:rsidR="00E12D32" w:rsidRDefault="00E12D32" w:rsidP="00F52825">
      <w:pPr>
        <w:pStyle w:val="Basiccopysl"/>
        <w:ind w:left="360" w:right="360"/>
      </w:pPr>
      <w:r>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14:paraId="59A93CFF" w14:textId="77777777" w:rsidR="00E12D32" w:rsidRDefault="00E12D32" w:rsidP="00F52825">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14:paraId="4C95E697" w14:textId="77777777" w:rsidR="00E12D32" w:rsidRDefault="00E12D32" w:rsidP="00F52825">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14:paraId="2DBC1489" w14:textId="77777777" w:rsidR="00E12D32" w:rsidRDefault="00E12D32" w:rsidP="00F52825">
      <w:pPr>
        <w:pStyle w:val="Subhead3sl"/>
      </w:pPr>
      <w:r>
        <w:t>Dissent, in part</w:t>
      </w:r>
    </w:p>
    <w:p w14:paraId="5F761436" w14:textId="77777777" w:rsidR="00930A80" w:rsidRDefault="00E12D32" w:rsidP="002C122A">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w:t>
      </w:r>
    </w:p>
    <w:p w14:paraId="030AB73F" w14:textId="77777777" w:rsidR="00930A80" w:rsidRDefault="00930A80" w:rsidP="00930A80">
      <w:pPr>
        <w:pStyle w:val="Subhead2sl"/>
      </w:pPr>
      <w:r>
        <w:lastRenderedPageBreak/>
        <w:t>Impact</w:t>
      </w:r>
    </w:p>
    <w:p w14:paraId="0DEBAFAB" w14:textId="747336F9" w:rsidR="00930A80" w:rsidRPr="00930A80" w:rsidRDefault="00930A80" w:rsidP="00930A80">
      <w:pPr>
        <w:pStyle w:val="Basiccopysl"/>
      </w:pPr>
      <w:r w:rsidRPr="00930A80">
        <w:rPr>
          <w:i/>
          <w:iCs/>
        </w:rPr>
        <w:t>Wisconsin v. Yoder</w:t>
      </w:r>
      <w:r w:rsidRPr="00930A80">
        <w:t xml:space="preserve"> demonstrates that the government’s interest in educating children is not absolute</w:t>
      </w:r>
      <w:r w:rsidR="00462097">
        <w:t>,</w:t>
      </w:r>
      <w:r w:rsidRPr="00930A80">
        <w:t xml:space="preserve"> and that it cannot overcome the First Amendment right to free exercise of religion in this situation. However, the Court also emphasized that the religion in this case was very unique because of how inseparable it is from the Amish way of life. The case is often said to be the basis for allowing students to be homeschooled instead of attending public or private schools.</w:t>
      </w:r>
    </w:p>
    <w:p w14:paraId="25BEE77F" w14:textId="0B5E704B" w:rsidR="00930A80" w:rsidRPr="00930A80" w:rsidRDefault="00930A80" w:rsidP="00930A80">
      <w:pPr>
        <w:pStyle w:val="Basiccopysl"/>
      </w:pPr>
      <w:r w:rsidRPr="00930A80">
        <w:t xml:space="preserve">The majority opinion in </w:t>
      </w:r>
      <w:r w:rsidRPr="00462097">
        <w:rPr>
          <w:i/>
          <w:iCs/>
        </w:rPr>
        <w:t>Wisconsin v. Yoder</w:t>
      </w:r>
      <w:r w:rsidRPr="00930A80">
        <w:t xml:space="preserve"> also provided some guidance for interpreting what kinds of religious beliefs are subject to the Free Exercise Clause. Importantly, the Court asked whether the religious beliefs involved in the case are “sincerely held.” In answering this question in </w:t>
      </w:r>
      <w:r w:rsidRPr="00462097">
        <w:rPr>
          <w:i/>
          <w:iCs/>
        </w:rPr>
        <w:t>Wisconsin v. Yoder,</w:t>
      </w:r>
      <w:r w:rsidRPr="00930A80">
        <w:t xml:space="preserve"> the Court pointed out the long history of Amish religious practices.</w:t>
      </w:r>
    </w:p>
    <w:p w14:paraId="1D6A86B1" w14:textId="77777777" w:rsidR="00930A80" w:rsidRPr="00930A80" w:rsidRDefault="00930A80" w:rsidP="00930A80">
      <w:pPr>
        <w:pStyle w:val="Basiccopysl"/>
      </w:pPr>
      <w:r w:rsidRPr="00930A80">
        <w:t xml:space="preserve">The Court expanded on this opinion in its 1990 decision in </w:t>
      </w:r>
      <w:r w:rsidRPr="00462097">
        <w:rPr>
          <w:i/>
          <w:iCs/>
        </w:rPr>
        <w:t xml:space="preserve">Employment Division v. Smith. </w:t>
      </w:r>
      <w:r w:rsidRPr="00930A80">
        <w:t xml:space="preserve">This case challenged a law criminalizing the use of peyote, a cactus used in some Native American rituals that produces psychedelic effects. In his majority opinion, Justice Scalia explained that the Court struck down the law in </w:t>
      </w:r>
      <w:r w:rsidRPr="00462097">
        <w:rPr>
          <w:i/>
          <w:iCs/>
        </w:rPr>
        <w:t xml:space="preserve">Yoder </w:t>
      </w:r>
      <w:r w:rsidRPr="00930A80">
        <w:t xml:space="preserve">because it involved “hybrid” claims. In other words, the respondent’s argument combined a Free Exercise argument with another claim (the right of parents to make choices about their child’s education). This was not the case in </w:t>
      </w:r>
      <w:r w:rsidRPr="00462097">
        <w:rPr>
          <w:i/>
          <w:iCs/>
        </w:rPr>
        <w:t>Employment Division v. Smith,</w:t>
      </w:r>
      <w:r w:rsidRPr="00930A80">
        <w:t xml:space="preserve"> and the law was allowed to stand.</w:t>
      </w:r>
    </w:p>
    <w:p w14:paraId="4E89CF3D" w14:textId="1872B15B" w:rsidR="00E10979" w:rsidRDefault="00E12D32" w:rsidP="002C122A">
      <w:pPr>
        <w:pStyle w:val="Basiccopysl"/>
      </w:pPr>
      <w:r>
        <w:t xml:space="preserve"> </w:t>
      </w:r>
    </w:p>
    <w:sectPr w:rsidR="00E10979" w:rsidSect="00F42CDF">
      <w:headerReference w:type="default" r:id="rId74"/>
      <w:footerReference w:type="default" r:id="rId75"/>
      <w:headerReference w:type="first" r:id="rId76"/>
      <w:footerReference w:type="first" r:id="rId77"/>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12AF" w14:textId="77777777" w:rsidR="007A78E8" w:rsidRDefault="007A78E8" w:rsidP="0078549D">
      <w:pPr>
        <w:spacing w:after="0"/>
      </w:pPr>
      <w:r>
        <w:separator/>
      </w:r>
    </w:p>
  </w:endnote>
  <w:endnote w:type="continuationSeparator" w:id="0">
    <w:p w14:paraId="57787CCF" w14:textId="77777777" w:rsidR="007A78E8" w:rsidRDefault="007A78E8"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3534"/>
      <w:docPartObj>
        <w:docPartGallery w:val="Page Numbers (Bottom of Page)"/>
        <w:docPartUnique/>
      </w:docPartObj>
    </w:sdtPr>
    <w:sdtEndPr>
      <w:rPr>
        <w:noProof/>
      </w:rPr>
    </w:sdtEndPr>
    <w:sdtContent>
      <w:p w14:paraId="2D3A618B" w14:textId="74F8437D"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w:t>
        </w:r>
        <w:r w:rsidR="004264A5">
          <w:t>08/23/2021</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73238"/>
      <w:docPartObj>
        <w:docPartGallery w:val="Page Numbers (Bottom of Page)"/>
        <w:docPartUnique/>
      </w:docPartObj>
    </w:sdtPr>
    <w:sdtEndPr>
      <w:rPr>
        <w:noProof/>
      </w:rPr>
    </w:sdtEndPr>
    <w:sdtContent>
      <w:p w14:paraId="6D98D73F" w14:textId="0055FE52"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w:t>
        </w:r>
        <w:r w:rsidR="004264A5">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542"/>
      <w:docPartObj>
        <w:docPartGallery w:val="Page Numbers (Bottom of Page)"/>
        <w:docPartUnique/>
      </w:docPartObj>
    </w:sdtPr>
    <w:sdtEndPr>
      <w:rPr>
        <w:noProof/>
      </w:rPr>
    </w:sdtEndPr>
    <w:sdtContent>
      <w:p w14:paraId="28C1A40A" w14:textId="7309C63E"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w:t>
        </w:r>
        <w:r w:rsidR="004264A5">
          <w:t>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43420"/>
      <w:docPartObj>
        <w:docPartGallery w:val="Page Numbers (Bottom of Page)"/>
        <w:docPartUnique/>
      </w:docPartObj>
    </w:sdtPr>
    <w:sdtEndPr>
      <w:rPr>
        <w:noProof/>
      </w:rPr>
    </w:sdtEndPr>
    <w:sdtContent>
      <w:p w14:paraId="4D2F8173"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2</w:t>
        </w:r>
        <w:r w:rsidRPr="008A3806">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601633"/>
      <w:docPartObj>
        <w:docPartGallery w:val="Page Numbers (Bottom of Page)"/>
        <w:docPartUnique/>
      </w:docPartObj>
    </w:sdtPr>
    <w:sdtEndPr>
      <w:rPr>
        <w:noProof/>
      </w:rPr>
    </w:sdtEndPr>
    <w:sdtContent>
      <w:p w14:paraId="58EECA52" w14:textId="6781FEC6"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rPr>
            <w:noProof/>
          </w:rPr>
          <w:t>Last updated: 08/</w:t>
        </w:r>
        <w:r w:rsidR="004264A5">
          <w:rPr>
            <w:noProof/>
          </w:rPr>
          <w:t>23</w:t>
        </w:r>
        <w:r>
          <w:rPr>
            <w:noProof/>
          </w:rPr>
          <w:t>/202</w:t>
        </w:r>
        <w:r w:rsidR="004264A5">
          <w:rPr>
            <w:noProof/>
          </w:rPr>
          <w:t>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72475"/>
      <w:docPartObj>
        <w:docPartGallery w:val="Page Numbers (Bottom of Page)"/>
        <w:docPartUnique/>
      </w:docPartObj>
    </w:sdtPr>
    <w:sdtEndPr>
      <w:rPr>
        <w:noProof/>
      </w:rPr>
    </w:sdtEndPr>
    <w:sdtContent>
      <w:p w14:paraId="6F20BC33"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2</w:t>
        </w:r>
        <w:r w:rsidRPr="008A3806">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25288"/>
      <w:docPartObj>
        <w:docPartGallery w:val="Page Numbers (Bottom of Page)"/>
        <w:docPartUnique/>
      </w:docPartObj>
    </w:sdtPr>
    <w:sdtEndPr>
      <w:rPr>
        <w:noProof/>
      </w:rPr>
    </w:sdtEndPr>
    <w:sdtContent>
      <w:p w14:paraId="413ED5BE" w14:textId="431DFB34"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86179"/>
      <w:docPartObj>
        <w:docPartGallery w:val="Page Numbers (Bottom of Page)"/>
        <w:docPartUnique/>
      </w:docPartObj>
    </w:sdtPr>
    <w:sdtEndPr>
      <w:rPr>
        <w:noProof/>
      </w:rPr>
    </w:sdtEndPr>
    <w:sdtContent>
      <w:p w14:paraId="21168C09"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5</w:t>
        </w:r>
        <w:r w:rsidRPr="008A3806">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47965"/>
      <w:docPartObj>
        <w:docPartGallery w:val="Page Numbers (Bottom of Page)"/>
        <w:docPartUnique/>
      </w:docPartObj>
    </w:sdtPr>
    <w:sdtEndPr>
      <w:rPr>
        <w:noProof/>
      </w:rPr>
    </w:sdtEndPr>
    <w:sdtContent>
      <w:p w14:paraId="3AB59EB0" w14:textId="26FE238E"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4552"/>
      <w:docPartObj>
        <w:docPartGallery w:val="Page Numbers (Bottom of Page)"/>
        <w:docPartUnique/>
      </w:docPartObj>
    </w:sdtPr>
    <w:sdtEndPr>
      <w:rPr>
        <w:noProof/>
      </w:rPr>
    </w:sdtEndPr>
    <w:sdtContent>
      <w:p w14:paraId="2E4C144E"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5</w:t>
        </w:r>
        <w:r w:rsidRPr="008A3806">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21655"/>
      <w:docPartObj>
        <w:docPartGallery w:val="Page Numbers (Bottom of Page)"/>
        <w:docPartUnique/>
      </w:docPartObj>
    </w:sdtPr>
    <w:sdtEndPr>
      <w:rPr>
        <w:noProof/>
      </w:rPr>
    </w:sdtEndPr>
    <w:sdtContent>
      <w:p w14:paraId="504B6AAE" w14:textId="172553F0"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08/2</w:t>
        </w:r>
        <w:r w:rsidR="004264A5">
          <w:t>3</w:t>
        </w:r>
        <w:r>
          <w:t>/202</w:t>
        </w:r>
        <w:r w:rsidR="004264A5">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711322"/>
      <w:docPartObj>
        <w:docPartGallery w:val="Page Numbers (Bottom of Page)"/>
        <w:docPartUnique/>
      </w:docPartObj>
    </w:sdtPr>
    <w:sdtEndPr>
      <w:rPr>
        <w:noProof/>
      </w:rPr>
    </w:sdtEndPr>
    <w:sdtContent>
      <w:p w14:paraId="4FF653A7" w14:textId="77777777"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1</w:t>
        </w:r>
        <w:r w:rsidRPr="008A3806">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60636"/>
      <w:docPartObj>
        <w:docPartGallery w:val="Page Numbers (Bottom of Page)"/>
        <w:docPartUnique/>
      </w:docPartObj>
    </w:sdtPr>
    <w:sdtEndPr>
      <w:rPr>
        <w:noProof/>
        <w:sz w:val="22"/>
        <w:szCs w:val="20"/>
      </w:rPr>
    </w:sdtEndPr>
    <w:sdtContent>
      <w:p w14:paraId="6307B76A" w14:textId="77777777" w:rsidR="00C10EF9" w:rsidRPr="00D97FDB" w:rsidRDefault="00C10EF9">
        <w:pPr>
          <w:pStyle w:val="Footer"/>
          <w:rPr>
            <w:sz w:val="22"/>
            <w:szCs w:val="20"/>
          </w:rPr>
        </w:pPr>
        <w:r w:rsidRPr="00D97FDB">
          <w:rPr>
            <w:rFonts w:cstheme="minorHAnsi"/>
            <w:sz w:val="22"/>
            <w:szCs w:val="20"/>
          </w:rPr>
          <w:t>©</w:t>
        </w:r>
        <w:r w:rsidRPr="00D97FDB">
          <w:rPr>
            <w:sz w:val="22"/>
            <w:szCs w:val="20"/>
          </w:rPr>
          <w:t xml:space="preserve"> 2018 Street Law, Inc.</w:t>
        </w:r>
        <w:r w:rsidRPr="00D97FDB">
          <w:rPr>
            <w:sz w:val="22"/>
            <w:szCs w:val="20"/>
          </w:rPr>
          <w:tab/>
        </w:r>
        <w:r w:rsidRPr="00D97FDB">
          <w:rPr>
            <w:sz w:val="22"/>
            <w:szCs w:val="20"/>
          </w:rPr>
          <w:tab/>
          <w:t xml:space="preserve"> </w:t>
        </w:r>
        <w:r w:rsidRPr="00D97FDB">
          <w:rPr>
            <w:sz w:val="22"/>
            <w:szCs w:val="20"/>
          </w:rPr>
          <w:fldChar w:fldCharType="begin"/>
        </w:r>
        <w:r w:rsidRPr="00D97FDB">
          <w:rPr>
            <w:sz w:val="22"/>
            <w:szCs w:val="20"/>
          </w:rPr>
          <w:instrText xml:space="preserve"> PAGE   \* MERGEFORMAT </w:instrText>
        </w:r>
        <w:r w:rsidRPr="00D97FDB">
          <w:rPr>
            <w:sz w:val="22"/>
            <w:szCs w:val="20"/>
          </w:rPr>
          <w:fldChar w:fldCharType="separate"/>
        </w:r>
        <w:r w:rsidRPr="00D97FDB">
          <w:rPr>
            <w:noProof/>
            <w:sz w:val="22"/>
            <w:szCs w:val="20"/>
          </w:rPr>
          <w:t>3</w:t>
        </w:r>
        <w:r w:rsidRPr="00D97FDB">
          <w:rPr>
            <w:noProof/>
            <w:sz w:val="22"/>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52581"/>
      <w:docPartObj>
        <w:docPartGallery w:val="Page Numbers (Bottom of Page)"/>
        <w:docPartUnique/>
      </w:docPartObj>
    </w:sdtPr>
    <w:sdtEndPr>
      <w:rPr>
        <w:noProof/>
      </w:rPr>
    </w:sdtEndPr>
    <w:sdtContent>
      <w:p w14:paraId="20FE4A5C" w14:textId="3962A241"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w:t>
        </w:r>
        <w:r w:rsidR="004264A5">
          <w:t>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03614"/>
      <w:docPartObj>
        <w:docPartGallery w:val="Page Numbers (Bottom of Page)"/>
        <w:docPartUnique/>
      </w:docPartObj>
    </w:sdtPr>
    <w:sdtEndPr>
      <w:rPr>
        <w:noProof/>
      </w:rPr>
    </w:sdtEndPr>
    <w:sdtContent>
      <w:p w14:paraId="1313B844"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5</w:t>
        </w:r>
        <w:r w:rsidRPr="008A3806">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5659"/>
      <w:docPartObj>
        <w:docPartGallery w:val="Page Numbers (Bottom of Page)"/>
        <w:docPartUnique/>
      </w:docPartObj>
    </w:sdtPr>
    <w:sdtEndPr>
      <w:rPr>
        <w:noProof/>
      </w:rPr>
    </w:sdtEndPr>
    <w:sdtContent>
      <w:p w14:paraId="136E25AD" w14:textId="2BAA3012"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82457"/>
      <w:docPartObj>
        <w:docPartGallery w:val="Page Numbers (Bottom of Page)"/>
        <w:docPartUnique/>
      </w:docPartObj>
    </w:sdtPr>
    <w:sdtEndPr>
      <w:rPr>
        <w:noProof/>
      </w:rPr>
    </w:sdtEndPr>
    <w:sdtContent>
      <w:p w14:paraId="1F5DC177"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3</w:t>
        </w:r>
        <w:r w:rsidRPr="008A3806">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81045"/>
      <w:docPartObj>
        <w:docPartGallery w:val="Page Numbers (Bottom of Page)"/>
        <w:docPartUnique/>
      </w:docPartObj>
    </w:sdtPr>
    <w:sdtEndPr>
      <w:rPr>
        <w:noProof/>
      </w:rPr>
    </w:sdtEndPr>
    <w:sdtContent>
      <w:p w14:paraId="2BC146B9" w14:textId="22369675"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08/2</w:t>
        </w:r>
        <w:r w:rsidR="004264A5">
          <w:t>3</w:t>
        </w:r>
        <w:r>
          <w:t>/202</w:t>
        </w:r>
        <w:r w:rsidR="004264A5">
          <w:t>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05278"/>
      <w:docPartObj>
        <w:docPartGallery w:val="Page Numbers (Bottom of Page)"/>
        <w:docPartUnique/>
      </w:docPartObj>
    </w:sdtPr>
    <w:sdtEndPr>
      <w:rPr>
        <w:noProof/>
      </w:rPr>
    </w:sdtEndPr>
    <w:sdtContent>
      <w:p w14:paraId="2326C65A"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4</w:t>
        </w:r>
        <w:r w:rsidRPr="008A3806">
          <w:rPr>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803627"/>
      <w:docPartObj>
        <w:docPartGallery w:val="Page Numbers (Bottom of Page)"/>
        <w:docPartUnique/>
      </w:docPartObj>
    </w:sdtPr>
    <w:sdtEndPr>
      <w:rPr>
        <w:noProof/>
      </w:rPr>
    </w:sdtEndPr>
    <w:sdtContent>
      <w:p w14:paraId="25FBD337" w14:textId="5F9A2D0A"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/2021</w:t>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55943"/>
      <w:docPartObj>
        <w:docPartGallery w:val="Page Numbers (Bottom of Page)"/>
        <w:docPartUnique/>
      </w:docPartObj>
    </w:sdtPr>
    <w:sdtEndPr>
      <w:rPr>
        <w:noProof/>
      </w:rPr>
    </w:sdtEndPr>
    <w:sdtContent>
      <w:p w14:paraId="322B6723"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4</w:t>
        </w:r>
        <w:r w:rsidRPr="008A3806">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13993"/>
      <w:docPartObj>
        <w:docPartGallery w:val="Page Numbers (Bottom of Page)"/>
        <w:docPartUnique/>
      </w:docPartObj>
    </w:sdtPr>
    <w:sdtEndPr>
      <w:rPr>
        <w:noProof/>
      </w:rPr>
    </w:sdtEndPr>
    <w:sdtContent>
      <w:p w14:paraId="712833DE" w14:textId="3CADDB34"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w:t>
        </w:r>
        <w:r w:rsidR="004264A5">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50408"/>
      <w:docPartObj>
        <w:docPartGallery w:val="Page Numbers (Bottom of Page)"/>
        <w:docPartUnique/>
      </w:docPartObj>
    </w:sdtPr>
    <w:sdtEndPr>
      <w:rPr>
        <w:noProof/>
        <w:sz w:val="22"/>
        <w:szCs w:val="20"/>
      </w:rPr>
    </w:sdtEndPr>
    <w:sdtContent>
      <w:p w14:paraId="44DFE2D8" w14:textId="77777777" w:rsidR="00C10EF9" w:rsidRPr="00637650" w:rsidRDefault="00C10EF9" w:rsidP="00E12D32">
        <w:pPr>
          <w:pStyle w:val="Footer"/>
          <w:rPr>
            <w:sz w:val="22"/>
            <w:szCs w:val="20"/>
          </w:rPr>
        </w:pPr>
        <w:r w:rsidRPr="00637650">
          <w:rPr>
            <w:rFonts w:cstheme="minorHAnsi"/>
            <w:sz w:val="22"/>
            <w:szCs w:val="20"/>
          </w:rPr>
          <w:t>©</w:t>
        </w:r>
        <w:r w:rsidRPr="00637650">
          <w:rPr>
            <w:sz w:val="22"/>
            <w:szCs w:val="20"/>
          </w:rPr>
          <w:t xml:space="preserve"> 2020 Street Law, Inc.</w:t>
        </w:r>
        <w:r w:rsidRPr="00637650">
          <w:rPr>
            <w:sz w:val="22"/>
            <w:szCs w:val="20"/>
          </w:rPr>
          <w:tab/>
        </w:r>
        <w:r w:rsidRPr="00637650">
          <w:rPr>
            <w:sz w:val="22"/>
            <w:szCs w:val="20"/>
          </w:rPr>
          <w:tab/>
          <w:t xml:space="preserve"> </w:t>
        </w:r>
        <w:r w:rsidRPr="00637650">
          <w:rPr>
            <w:sz w:val="22"/>
            <w:szCs w:val="20"/>
          </w:rPr>
          <w:fldChar w:fldCharType="begin"/>
        </w:r>
        <w:r w:rsidRPr="00637650">
          <w:rPr>
            <w:sz w:val="22"/>
            <w:szCs w:val="20"/>
          </w:rPr>
          <w:instrText xml:space="preserve"> PAGE   \* MERGEFORMAT </w:instrText>
        </w:r>
        <w:r w:rsidRPr="00637650">
          <w:rPr>
            <w:sz w:val="22"/>
            <w:szCs w:val="20"/>
          </w:rPr>
          <w:fldChar w:fldCharType="separate"/>
        </w:r>
        <w:r w:rsidRPr="00637650">
          <w:rPr>
            <w:noProof/>
            <w:sz w:val="22"/>
            <w:szCs w:val="20"/>
          </w:rPr>
          <w:t>1</w:t>
        </w:r>
        <w:r w:rsidRPr="00637650">
          <w:rPr>
            <w:noProof/>
            <w:sz w:val="22"/>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92642"/>
      <w:docPartObj>
        <w:docPartGallery w:val="Page Numbers (Bottom of Page)"/>
        <w:docPartUnique/>
      </w:docPartObj>
    </w:sdtPr>
    <w:sdtEndPr>
      <w:rPr>
        <w:noProof/>
        <w:sz w:val="22"/>
        <w:szCs w:val="20"/>
      </w:rPr>
    </w:sdtEndPr>
    <w:sdtContent>
      <w:p w14:paraId="36C0CBF5" w14:textId="67D60E7F" w:rsidR="00C10EF9" w:rsidRPr="00B208F5" w:rsidRDefault="00C10EF9">
        <w:pPr>
          <w:pStyle w:val="Footer"/>
          <w:rPr>
            <w:sz w:val="22"/>
            <w:szCs w:val="20"/>
          </w:rPr>
        </w:pPr>
        <w:r w:rsidRPr="00637650">
          <w:rPr>
            <w:rFonts w:cstheme="minorHAnsi"/>
            <w:sz w:val="22"/>
            <w:szCs w:val="20"/>
          </w:rPr>
          <w:t>©</w:t>
        </w:r>
        <w:r w:rsidRPr="00637650">
          <w:rPr>
            <w:sz w:val="22"/>
            <w:szCs w:val="20"/>
          </w:rPr>
          <w:t xml:space="preserve"> 2020 Street Law, Inc.</w:t>
        </w:r>
        <w:r w:rsidRPr="00637650">
          <w:rPr>
            <w:sz w:val="22"/>
            <w:szCs w:val="20"/>
          </w:rPr>
          <w:tab/>
        </w:r>
        <w:r w:rsidRPr="00637650">
          <w:rPr>
            <w:sz w:val="22"/>
            <w:szCs w:val="20"/>
          </w:rPr>
          <w:tab/>
          <w:t xml:space="preserve"> </w:t>
        </w:r>
        <w:r>
          <w:rPr>
            <w:sz w:val="22"/>
            <w:szCs w:val="20"/>
          </w:rPr>
          <w:t xml:space="preserve">Last updated: </w:t>
        </w:r>
        <w:r w:rsidR="004264A5">
          <w:rPr>
            <w:sz w:val="22"/>
            <w:szCs w:val="20"/>
          </w:rPr>
          <w:t>08</w:t>
        </w:r>
        <w:r>
          <w:rPr>
            <w:sz w:val="22"/>
            <w:szCs w:val="20"/>
          </w:rPr>
          <w:t>/</w:t>
        </w:r>
        <w:r w:rsidR="004264A5">
          <w:rPr>
            <w:sz w:val="22"/>
            <w:szCs w:val="20"/>
          </w:rPr>
          <w:t>23</w:t>
        </w:r>
        <w:r>
          <w:rPr>
            <w:sz w:val="22"/>
            <w:szCs w:val="20"/>
          </w:rPr>
          <w:t>/202</w:t>
        </w:r>
        <w:r w:rsidR="004264A5">
          <w:rPr>
            <w:sz w:val="22"/>
            <w:szCs w:val="20"/>
          </w:rPr>
          <w:t>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034401"/>
      <w:docPartObj>
        <w:docPartGallery w:val="Page Numbers (Bottom of Page)"/>
        <w:docPartUnique/>
      </w:docPartObj>
    </w:sdtPr>
    <w:sdtEndPr>
      <w:rPr>
        <w:noProof/>
      </w:rPr>
    </w:sdtEndPr>
    <w:sdtContent>
      <w:p w14:paraId="45E30323"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2</w:t>
        </w:r>
        <w:r w:rsidRPr="008A380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845904"/>
      <w:docPartObj>
        <w:docPartGallery w:val="Page Numbers (Bottom of Page)"/>
        <w:docPartUnique/>
      </w:docPartObj>
    </w:sdtPr>
    <w:sdtEndPr>
      <w:rPr>
        <w:noProof/>
      </w:rPr>
    </w:sdtEndPr>
    <w:sdtContent>
      <w:p w14:paraId="2E99638B" w14:textId="3BC9E74D"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w:t>
        </w:r>
        <w:r w:rsidR="004264A5">
          <w:t>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31842"/>
      <w:docPartObj>
        <w:docPartGallery w:val="Page Numbers (Bottom of Page)"/>
        <w:docPartUnique/>
      </w:docPartObj>
    </w:sdtPr>
    <w:sdtEndPr>
      <w:rPr>
        <w:noProof/>
      </w:rPr>
    </w:sdtEndPr>
    <w:sdtContent>
      <w:p w14:paraId="1627EDD0" w14:textId="52472180"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w:t>
        </w:r>
        <w:r w:rsidR="004264A5">
          <w:t>08</w:t>
        </w:r>
        <w:r>
          <w:t>/</w:t>
        </w:r>
        <w:r w:rsidR="004264A5">
          <w:t>23</w:t>
        </w:r>
        <w:r>
          <w:t>/202</w:t>
        </w:r>
        <w:r w:rsidR="004264A5">
          <w:t>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4030"/>
      <w:docPartObj>
        <w:docPartGallery w:val="Page Numbers (Bottom of Page)"/>
        <w:docPartUnique/>
      </w:docPartObj>
    </w:sdtPr>
    <w:sdtEndPr>
      <w:rPr>
        <w:noProof/>
      </w:rPr>
    </w:sdtEndPr>
    <w:sdtContent>
      <w:p w14:paraId="2191D29B" w14:textId="4BB2545C" w:rsidR="00C10EF9" w:rsidRDefault="00C10EF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Last updated: 0</w:t>
        </w:r>
        <w:r w:rsidR="004264A5">
          <w:t>8</w:t>
        </w:r>
        <w:r>
          <w:t>/</w:t>
        </w:r>
        <w:r w:rsidR="004264A5">
          <w:t>23</w:t>
        </w:r>
        <w:r>
          <w:t>/202</w:t>
        </w:r>
        <w:r w:rsidR="004264A5">
          <w:t>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39509"/>
      <w:docPartObj>
        <w:docPartGallery w:val="Page Numbers (Bottom of Page)"/>
        <w:docPartUnique/>
      </w:docPartObj>
    </w:sdtPr>
    <w:sdtEndPr>
      <w:rPr>
        <w:noProof/>
      </w:rPr>
    </w:sdtEndPr>
    <w:sdtContent>
      <w:p w14:paraId="64E0A21E" w14:textId="77777777" w:rsidR="00C10EF9" w:rsidRPr="0078549D" w:rsidRDefault="00C10EF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Pr>
            <w:noProof/>
          </w:rPr>
          <w:t>4</w:t>
        </w:r>
        <w:r w:rsidRPr="008A380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C20D" w14:textId="77777777" w:rsidR="007A78E8" w:rsidRDefault="007A78E8" w:rsidP="0078549D">
      <w:pPr>
        <w:spacing w:after="0"/>
      </w:pPr>
      <w:r>
        <w:separator/>
      </w:r>
    </w:p>
  </w:footnote>
  <w:footnote w:type="continuationSeparator" w:id="0">
    <w:p w14:paraId="4E8BDA31" w14:textId="77777777" w:rsidR="007A78E8" w:rsidRDefault="007A78E8" w:rsidP="0078549D">
      <w:pPr>
        <w:spacing w:after="0"/>
      </w:pPr>
      <w:r>
        <w:continuationSeparator/>
      </w:r>
    </w:p>
  </w:footnote>
  <w:footnote w:id="1">
    <w:p w14:paraId="36EFEDA1" w14:textId="77777777" w:rsidR="00C10EF9" w:rsidRPr="009A0066" w:rsidRDefault="00C10EF9" w:rsidP="00F42CDF">
      <w:pPr>
        <w:pStyle w:val="Basiccopysl"/>
        <w:rPr>
          <w:sz w:val="20"/>
          <w:szCs w:val="20"/>
        </w:rPr>
      </w:pPr>
      <w:r w:rsidRPr="009A0066">
        <w:rPr>
          <w:rStyle w:val="FootnoteReference"/>
          <w:sz w:val="20"/>
          <w:szCs w:val="20"/>
        </w:rPr>
        <w:footnoteRef/>
      </w:r>
      <w:r w:rsidRPr="009A0066">
        <w:rPr>
          <w:sz w:val="20"/>
          <w:szCs w:val="20"/>
        </w:rPr>
        <w:t xml:space="preserve"> In the Supreme Court’s opinion for this case, James McCulloch’s surname was spelled M</w:t>
      </w:r>
      <w:r w:rsidRPr="009A0066">
        <w:rPr>
          <w:rFonts w:ascii="Times New Roman" w:hAnsi="Times New Roman" w:cs="Times New Roman"/>
          <w:sz w:val="20"/>
          <w:szCs w:val="20"/>
        </w:rPr>
        <w:t>ʻ</w:t>
      </w:r>
      <w:r w:rsidRPr="009A0066">
        <w:rPr>
          <w:sz w:val="20"/>
          <w:szCs w:val="20"/>
        </w:rPr>
        <w:t xml:space="preserve">Culloch.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E198" w14:textId="2C60E6AC" w:rsidR="00C10EF9" w:rsidRDefault="00C10EF9" w:rsidP="00391EA0">
    <w:pPr>
      <w:pStyle w:val="Header"/>
      <w:jc w:val="right"/>
    </w:pPr>
    <w:r w:rsidRPr="00E47C6F">
      <w:t>15 Case Summaries for AP Gov</w:t>
    </w:r>
    <w:r>
      <w:t>’</w:t>
    </w:r>
    <w:r w:rsidRPr="00E47C6F">
      <w:t>t &amp; Politics</w:t>
    </w:r>
    <w:r w:rsidRPr="00F42CDF">
      <w:rPr>
        <w:i/>
        <w:noProof/>
      </w:rPr>
      <mc:AlternateContent>
        <mc:Choice Requires="wps">
          <w:drawing>
            <wp:anchor distT="0" distB="0" distL="114300" distR="114300" simplePos="0" relativeHeight="251659264" behindDoc="0" locked="0" layoutInCell="1" allowOverlap="1" wp14:anchorId="148480E6" wp14:editId="3A51ABA1">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5EAF1" w14:textId="77777777" w:rsidR="00C10EF9" w:rsidRDefault="00C10EF9" w:rsidP="0078549D">
                          <w:r>
                            <w:rPr>
                              <w:noProof/>
                            </w:rPr>
                            <w:drawing>
                              <wp:inline distT="0" distB="0" distL="0" distR="0" wp14:anchorId="38B897AC" wp14:editId="1C9F7542">
                                <wp:extent cx="1718310" cy="445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8480E6"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14:paraId="1FA5EAF1" w14:textId="77777777" w:rsidR="00C10EF9" w:rsidRDefault="00C10EF9" w:rsidP="0078549D">
                    <w:r>
                      <w:rPr>
                        <w:noProof/>
                      </w:rPr>
                      <w:drawing>
                        <wp:inline distT="0" distB="0" distL="0" distR="0" wp14:anchorId="38B897AC" wp14:editId="1C9F7542">
                          <wp:extent cx="1718310" cy="445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A671"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04320" behindDoc="0" locked="0" layoutInCell="1" allowOverlap="1" wp14:anchorId="389CD6A9" wp14:editId="73E3DC78">
              <wp:simplePos x="0" y="0"/>
              <wp:positionH relativeFrom="column">
                <wp:posOffset>-209550</wp:posOffset>
              </wp:positionH>
              <wp:positionV relativeFrom="paragraph">
                <wp:posOffset>-171450</wp:posOffset>
              </wp:positionV>
              <wp:extent cx="2695575" cy="5429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89B72" w14:textId="77777777" w:rsidR="00C10EF9" w:rsidRDefault="00C10EF9" w:rsidP="00F42CDF">
                          <w:r>
                            <w:rPr>
                              <w:noProof/>
                            </w:rPr>
                            <w:drawing>
                              <wp:inline distT="0" distB="0" distL="0" distR="0" wp14:anchorId="4E806062" wp14:editId="2DFE6A7E">
                                <wp:extent cx="1718310" cy="44513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CD6A9" id="_x0000_t202" coordsize="21600,21600" o:spt="202" path="m,l,21600r21600,l21600,xe">
              <v:stroke joinstyle="miter"/>
              <v:path gradientshapeok="t" o:connecttype="rect"/>
            </v:shapetype>
            <v:shape id="Text Box 47" o:spid="_x0000_s1035" type="#_x0000_t202" style="position:absolute;left:0;text-align:left;margin-left:-16.5pt;margin-top:-13.5pt;width:212.25pt;height:42.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NY0bFoMCAABrBQAADgAAAAAAAAAAAAAAAAAuAgAAZHJzL2Uyb0RvYy54bWxQSwECLQAUAAYACAAA&#10;ACEAvuRYLeEAAAAKAQAADwAAAAAAAAAAAAAAAADdBAAAZHJzL2Rvd25yZXYueG1sUEsFBgAAAAAE&#10;AAQA8wAAAOsFAAAAAA==&#10;" filled="f" stroked="f" strokeweight=".5pt">
              <v:textbox>
                <w:txbxContent>
                  <w:p w14:paraId="7A489B72" w14:textId="77777777" w:rsidR="00C10EF9" w:rsidRDefault="00C10EF9" w:rsidP="00F42CDF">
                    <w:r>
                      <w:rPr>
                        <w:noProof/>
                      </w:rPr>
                      <w:drawing>
                        <wp:inline distT="0" distB="0" distL="0" distR="0" wp14:anchorId="4E806062" wp14:editId="2DFE6A7E">
                          <wp:extent cx="1718310" cy="44513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0EB4279A" w14:textId="77777777" w:rsidR="00C10EF9" w:rsidRDefault="00C10E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BA1" w14:textId="02B7CB21" w:rsidR="00C10EF9" w:rsidRPr="00F42CDF" w:rsidRDefault="00C10EF9" w:rsidP="0078549D">
    <w:pPr>
      <w:pStyle w:val="Header"/>
      <w:jc w:val="right"/>
      <w:rPr>
        <w:i/>
      </w:rPr>
    </w:pPr>
    <w:r>
      <w:rPr>
        <w:i/>
      </w:rPr>
      <w:t>Marbury v. Madison</w:t>
    </w:r>
    <w:r w:rsidRPr="00810E29">
      <w:rPr>
        <w:i/>
      </w:rPr>
      <w:t xml:space="preserve"> </w:t>
    </w:r>
    <w:r w:rsidRPr="004264A5">
      <w:rPr>
        <w:iCs/>
      </w:rPr>
      <w:t>(1803)</w:t>
    </w:r>
    <w:r w:rsidRPr="00F42CDF">
      <w:rPr>
        <w:i/>
        <w:noProof/>
      </w:rPr>
      <mc:AlternateContent>
        <mc:Choice Requires="wps">
          <w:drawing>
            <wp:anchor distT="0" distB="0" distL="114300" distR="114300" simplePos="0" relativeHeight="251738112" behindDoc="0" locked="0" layoutInCell="1" allowOverlap="1" wp14:anchorId="1A40D734" wp14:editId="448C9E50">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944805" w14:textId="77777777" w:rsidR="00C10EF9" w:rsidRDefault="00C10EF9" w:rsidP="0078549D">
                          <w:r>
                            <w:rPr>
                              <w:noProof/>
                            </w:rPr>
                            <w:drawing>
                              <wp:inline distT="0" distB="0" distL="0" distR="0" wp14:anchorId="4894825B" wp14:editId="0459B45B">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40D734" id="_x0000_t202" coordsize="21600,21600" o:spt="202" path="m,l,21600r21600,l21600,xe">
              <v:stroke joinstyle="miter"/>
              <v:path gradientshapeok="t" o:connecttype="rect"/>
            </v:shapetype>
            <v:shape id="Text Box 5" o:spid="_x0000_s1036" type="#_x0000_t202" style="position:absolute;left:0;text-align:left;margin-left:-16.5pt;margin-top:-13.5pt;width:212.25pt;height:42.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" filled="f" stroked="f" strokeweight=".5pt">
              <v:textbox>
                <w:txbxContent>
                  <w:p w14:paraId="45944805" w14:textId="77777777" w:rsidR="00C10EF9" w:rsidRDefault="00C10EF9" w:rsidP="0078549D">
                    <w:r>
                      <w:rPr>
                        <w:noProof/>
                      </w:rPr>
                      <w:drawing>
                        <wp:inline distT="0" distB="0" distL="0" distR="0" wp14:anchorId="4894825B" wp14:editId="0459B45B">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p w14:paraId="4A8CE52D" w14:textId="77777777" w:rsidR="00C10EF9" w:rsidRDefault="00C10E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2C5" w14:textId="77777777" w:rsidR="00C10EF9" w:rsidRPr="00F42CDF" w:rsidRDefault="00C10EF9" w:rsidP="0078549D">
    <w:pPr>
      <w:pStyle w:val="Header"/>
      <w:jc w:val="right"/>
      <w:rPr>
        <w:i/>
      </w:rPr>
    </w:pPr>
    <w:r w:rsidRPr="00F42CDF">
      <w:rPr>
        <w:i/>
      </w:rPr>
      <w:t>McCulloch v. Maryland</w:t>
    </w:r>
    <w:r w:rsidRPr="00F42CDF">
      <w:rPr>
        <w:i/>
        <w:noProof/>
      </w:rPr>
      <mc:AlternateContent>
        <mc:Choice Requires="wps">
          <w:drawing>
            <wp:anchor distT="0" distB="0" distL="114300" distR="114300" simplePos="0" relativeHeight="251706368" behindDoc="0" locked="0" layoutInCell="1" allowOverlap="1" wp14:anchorId="045374F0" wp14:editId="10B9D543">
              <wp:simplePos x="0" y="0"/>
              <wp:positionH relativeFrom="column">
                <wp:posOffset>-209550</wp:posOffset>
              </wp:positionH>
              <wp:positionV relativeFrom="paragraph">
                <wp:posOffset>-171450</wp:posOffset>
              </wp:positionV>
              <wp:extent cx="2695575" cy="5429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8810F" w14:textId="77777777" w:rsidR="00C10EF9" w:rsidRDefault="00C10EF9" w:rsidP="0078549D">
                          <w:r>
                            <w:rPr>
                              <w:noProof/>
                            </w:rPr>
                            <w:drawing>
                              <wp:inline distT="0" distB="0" distL="0" distR="0" wp14:anchorId="1DABEC7A" wp14:editId="679BB77F">
                                <wp:extent cx="1718310" cy="4451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5374F0" id="_x0000_t202" coordsize="21600,21600" o:spt="202" path="m,l,21600r21600,l21600,xe">
              <v:stroke joinstyle="miter"/>
              <v:path gradientshapeok="t" o:connecttype="rect"/>
            </v:shapetype>
            <v:shape id="Text Box 54" o:spid="_x0000_s1037" type="#_x0000_t202" style="position:absolute;left:0;text-align:left;margin-left:-16.5pt;margin-top:-13.5pt;width:212.2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iLgwIAAGw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nZJ4i4MCAABsBQAADgAAAAAAAAAAAAAAAAAuAgAAZHJzL2Uyb0RvYy54bWxQSwECLQAUAAYACAAA&#10;ACEAvuRYLeEAAAAKAQAADwAAAAAAAAAAAAAAAADdBAAAZHJzL2Rvd25yZXYueG1sUEsFBgAAAAAE&#10;AAQA8wAAAOsFAAAAAA==&#10;" filled="f" stroked="f" strokeweight=".5pt">
              <v:textbox>
                <w:txbxContent>
                  <w:p w14:paraId="27E8810F" w14:textId="77777777" w:rsidR="00C10EF9" w:rsidRDefault="00C10EF9" w:rsidP="0078549D">
                    <w:r>
                      <w:rPr>
                        <w:noProof/>
                      </w:rPr>
                      <w:drawing>
                        <wp:inline distT="0" distB="0" distL="0" distR="0" wp14:anchorId="1DABEC7A" wp14:editId="679BB77F">
                          <wp:extent cx="1718310" cy="4451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 xml:space="preserve"> </w:t>
    </w:r>
    <w:r w:rsidRPr="004264A5">
      <w:rPr>
        <w:iCs/>
      </w:rPr>
      <w:t>(1819)</w:t>
    </w:r>
  </w:p>
  <w:p w14:paraId="3A8DE13D" w14:textId="77777777" w:rsidR="00C10EF9" w:rsidRDefault="00C10E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47981532"/>
  <w:p w14:paraId="559D0162"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07392" behindDoc="0" locked="0" layoutInCell="1" allowOverlap="1" wp14:anchorId="4437160D" wp14:editId="1055B8BB">
              <wp:simplePos x="0" y="0"/>
              <wp:positionH relativeFrom="column">
                <wp:posOffset>-209550</wp:posOffset>
              </wp:positionH>
              <wp:positionV relativeFrom="paragraph">
                <wp:posOffset>-171450</wp:posOffset>
              </wp:positionV>
              <wp:extent cx="2695575" cy="5429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B5F4C" w14:textId="77777777" w:rsidR="00C10EF9" w:rsidRDefault="00C10EF9" w:rsidP="00F42CDF">
                          <w:r>
                            <w:rPr>
                              <w:noProof/>
                            </w:rPr>
                            <w:drawing>
                              <wp:inline distT="0" distB="0" distL="0" distR="0" wp14:anchorId="09E3D07D" wp14:editId="03C1F1C7">
                                <wp:extent cx="171831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7160D" id="_x0000_t202" coordsize="21600,21600" o:spt="202" path="m,l,21600r21600,l21600,xe">
              <v:stroke joinstyle="miter"/>
              <v:path gradientshapeok="t" o:connecttype="rect"/>
            </v:shapetype>
            <v:shape id="Text Box 55" o:spid="_x0000_s1038" type="#_x0000_t202" style="position:absolute;left:0;text-align:left;margin-left:-16.5pt;margin-top:-13.5pt;width:212.25pt;height:42.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A+&#10;sCDqggIAAGwFAAAOAAAAAAAAAAAAAAAAAC4CAABkcnMvZTJvRG9jLnhtbFBLAQItABQABgAIAAAA&#10;IQC+5Fgt4QAAAAoBAAAPAAAAAAAAAAAAAAAAANwEAABkcnMvZG93bnJldi54bWxQSwUGAAAAAAQA&#10;BADzAAAA6gUAAAAA&#10;" filled="f" stroked="f" strokeweight=".5pt">
              <v:textbox>
                <w:txbxContent>
                  <w:p w14:paraId="5BDB5F4C" w14:textId="77777777" w:rsidR="00C10EF9" w:rsidRDefault="00C10EF9" w:rsidP="00F42CDF">
                    <w:r>
                      <w:rPr>
                        <w:noProof/>
                      </w:rPr>
                      <w:drawing>
                        <wp:inline distT="0" distB="0" distL="0" distR="0" wp14:anchorId="09E3D07D" wp14:editId="03C1F1C7">
                          <wp:extent cx="1718310" cy="4451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bookmarkEnd w:id="11"/>
  <w:p w14:paraId="034AED7D" w14:textId="77777777" w:rsidR="00C10EF9" w:rsidRDefault="00C10E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074" w14:textId="77777777" w:rsidR="00C10EF9" w:rsidRPr="00F42CDF" w:rsidRDefault="00C10EF9" w:rsidP="0078549D">
    <w:pPr>
      <w:pStyle w:val="Header"/>
      <w:jc w:val="right"/>
      <w:rPr>
        <w:i/>
      </w:rPr>
    </w:pPr>
    <w:r w:rsidRPr="005D78F1">
      <w:rPr>
        <w:i/>
      </w:rPr>
      <w:t>McDonald v. City of Chicago</w:t>
    </w:r>
    <w:r w:rsidRPr="00F42CDF">
      <w:rPr>
        <w:i/>
        <w:noProof/>
      </w:rPr>
      <mc:AlternateContent>
        <mc:Choice Requires="wps">
          <w:drawing>
            <wp:anchor distT="0" distB="0" distL="114300" distR="114300" simplePos="0" relativeHeight="251709440" behindDoc="0" locked="0" layoutInCell="1" allowOverlap="1" wp14:anchorId="257425A1" wp14:editId="73D45BBD">
              <wp:simplePos x="0" y="0"/>
              <wp:positionH relativeFrom="column">
                <wp:posOffset>-209550</wp:posOffset>
              </wp:positionH>
              <wp:positionV relativeFrom="paragraph">
                <wp:posOffset>-171450</wp:posOffset>
              </wp:positionV>
              <wp:extent cx="2695575" cy="54292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BC444" w14:textId="77777777" w:rsidR="00C10EF9" w:rsidRDefault="00C10EF9" w:rsidP="0078549D">
                          <w:r>
                            <w:rPr>
                              <w:noProof/>
                            </w:rPr>
                            <w:drawing>
                              <wp:inline distT="0" distB="0" distL="0" distR="0" wp14:anchorId="7B55207E" wp14:editId="0BCC8009">
                                <wp:extent cx="1718310" cy="4451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425A1" id="_x0000_t202" coordsize="21600,21600" o:spt="202" path="m,l,21600r21600,l21600,xe">
              <v:stroke joinstyle="miter"/>
              <v:path gradientshapeok="t" o:connecttype="rect"/>
            </v:shapetype>
            <v:shape id="Text Box 58" o:spid="_x0000_s1039" type="#_x0000_t202" style="position:absolute;left:0;text-align:left;margin-left:-16.5pt;margin-top:-13.5pt;width:212.25pt;height:42.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x&#10;uenCggIAAGwFAAAOAAAAAAAAAAAAAAAAAC4CAABkcnMvZTJvRG9jLnhtbFBLAQItABQABgAIAAAA&#10;IQC+5Fgt4QAAAAoBAAAPAAAAAAAAAAAAAAAAANwEAABkcnMvZG93bnJldi54bWxQSwUGAAAAAAQA&#10;BADzAAAA6gUAAAAA&#10;" filled="f" stroked="f" strokeweight=".5pt">
              <v:textbox>
                <w:txbxContent>
                  <w:p w14:paraId="026BC444" w14:textId="77777777" w:rsidR="00C10EF9" w:rsidRDefault="00C10EF9" w:rsidP="0078549D">
                    <w:r>
                      <w:rPr>
                        <w:noProof/>
                      </w:rPr>
                      <w:drawing>
                        <wp:inline distT="0" distB="0" distL="0" distR="0" wp14:anchorId="7B55207E" wp14:editId="0BCC8009">
                          <wp:extent cx="1718310" cy="4451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 xml:space="preserve"> </w:t>
    </w:r>
    <w:r w:rsidRPr="004264A5">
      <w:rPr>
        <w:iCs/>
      </w:rPr>
      <w:t>(2010)</w:t>
    </w:r>
  </w:p>
  <w:p w14:paraId="638F5C2A" w14:textId="77777777" w:rsidR="00C10EF9" w:rsidRDefault="00C10E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5B99"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10464" behindDoc="0" locked="0" layoutInCell="1" allowOverlap="1" wp14:anchorId="34D06217" wp14:editId="394FCCB8">
              <wp:simplePos x="0" y="0"/>
              <wp:positionH relativeFrom="column">
                <wp:posOffset>-209550</wp:posOffset>
              </wp:positionH>
              <wp:positionV relativeFrom="paragraph">
                <wp:posOffset>-171450</wp:posOffset>
              </wp:positionV>
              <wp:extent cx="2695575" cy="54292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87FDC" w14:textId="77777777" w:rsidR="00C10EF9" w:rsidRDefault="00C10EF9" w:rsidP="00F42CDF">
                          <w:r>
                            <w:rPr>
                              <w:noProof/>
                            </w:rPr>
                            <w:drawing>
                              <wp:inline distT="0" distB="0" distL="0" distR="0" wp14:anchorId="412DE34E" wp14:editId="1875ECA6">
                                <wp:extent cx="1718310" cy="4451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D06217" id="_x0000_t202" coordsize="21600,21600" o:spt="202" path="m,l,21600r21600,l21600,xe">
              <v:stroke joinstyle="miter"/>
              <v:path gradientshapeok="t" o:connecttype="rect"/>
            </v:shapetype>
            <v:shape id="Text Box 59" o:spid="_x0000_s1040" type="#_x0000_t202" style="position:absolute;left:0;text-align:left;margin-left:-16.5pt;margin-top:-13.5pt;width:212.25pt;height:42.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rF5tQIMCAABsBQAADgAAAAAAAAAAAAAAAAAuAgAAZHJzL2Uyb0RvYy54bWxQSwECLQAUAAYACAAA&#10;ACEAvuRYLeEAAAAKAQAADwAAAAAAAAAAAAAAAADdBAAAZHJzL2Rvd25yZXYueG1sUEsFBgAAAAAE&#10;AAQA8wAAAOsFAAAAAA==&#10;" filled="f" stroked="f" strokeweight=".5pt">
              <v:textbox>
                <w:txbxContent>
                  <w:p w14:paraId="3F587FDC" w14:textId="77777777" w:rsidR="00C10EF9" w:rsidRDefault="00C10EF9" w:rsidP="00F42CDF">
                    <w:r>
                      <w:rPr>
                        <w:noProof/>
                      </w:rPr>
                      <w:drawing>
                        <wp:inline distT="0" distB="0" distL="0" distR="0" wp14:anchorId="412DE34E" wp14:editId="1875ECA6">
                          <wp:extent cx="1718310" cy="4451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4157CB68" w14:textId="77777777" w:rsidR="00C10EF9" w:rsidRDefault="00C10E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AB7" w14:textId="38B21E7A" w:rsidR="00C10EF9" w:rsidRDefault="00C10EF9" w:rsidP="00E12D32">
    <w:pPr>
      <w:pStyle w:val="Header"/>
      <w:jc w:val="right"/>
    </w:pPr>
    <w:r w:rsidRPr="00D77631">
      <w:rPr>
        <w:i/>
      </w:rPr>
      <w:t>New York Times Co. v. U</w:t>
    </w:r>
    <w:r>
      <w:rPr>
        <w:i/>
      </w:rPr>
      <w:t xml:space="preserve">nited </w:t>
    </w:r>
    <w:r w:rsidRPr="00D77631">
      <w:rPr>
        <w:i/>
      </w:rPr>
      <w:t>S</w:t>
    </w:r>
    <w:r>
      <w:rPr>
        <w:i/>
      </w:rPr>
      <w:t>tates</w:t>
    </w:r>
    <w:r w:rsidRPr="00D77631">
      <w:rPr>
        <w:i/>
      </w:rPr>
      <w:t xml:space="preserve"> </w:t>
    </w:r>
    <w:r w:rsidRPr="004264A5">
      <w:rPr>
        <w:iCs/>
      </w:rPr>
      <w:t>(1971)</w:t>
    </w:r>
    <w:r w:rsidRPr="00F42CDF">
      <w:rPr>
        <w:i/>
        <w:noProof/>
      </w:rPr>
      <mc:AlternateContent>
        <mc:Choice Requires="wps">
          <w:drawing>
            <wp:anchor distT="0" distB="0" distL="114300" distR="114300" simplePos="0" relativeHeight="251712512" behindDoc="0" locked="0" layoutInCell="1" allowOverlap="1" wp14:anchorId="5BA0C125" wp14:editId="411E8833">
              <wp:simplePos x="0" y="0"/>
              <wp:positionH relativeFrom="column">
                <wp:posOffset>-209550</wp:posOffset>
              </wp:positionH>
              <wp:positionV relativeFrom="paragraph">
                <wp:posOffset>-171450</wp:posOffset>
              </wp:positionV>
              <wp:extent cx="2695575" cy="54292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DE92E" w14:textId="77777777" w:rsidR="00C10EF9" w:rsidRDefault="00C10EF9" w:rsidP="0078549D">
                          <w:r>
                            <w:rPr>
                              <w:noProof/>
                            </w:rPr>
                            <w:drawing>
                              <wp:inline distT="0" distB="0" distL="0" distR="0" wp14:anchorId="6C47645F" wp14:editId="09E2887A">
                                <wp:extent cx="1718310" cy="4451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A0C125" id="_x0000_t202" coordsize="21600,21600" o:spt="202" path="m,l,21600r21600,l21600,xe">
              <v:stroke joinstyle="miter"/>
              <v:path gradientshapeok="t" o:connecttype="rect"/>
            </v:shapetype>
            <v:shape id="Text Box 62" o:spid="_x0000_s1041" type="#_x0000_t202" style="position:absolute;left:0;text-align:left;margin-left:-16.5pt;margin-top:-13.5pt;width:212.25pt;height:42.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Bst&#10;0T6BAgAAbAUAAA4AAAAAAAAAAAAAAAAALgIAAGRycy9lMm9Eb2MueG1sUEsBAi0AFAAGAAgAAAAh&#10;AL7kWC3hAAAACgEAAA8AAAAAAAAAAAAAAAAA2wQAAGRycy9kb3ducmV2LnhtbFBLBQYAAAAABAAE&#10;APMAAADpBQAAAAA=&#10;" filled="f" stroked="f" strokeweight=".5pt">
              <v:textbox>
                <w:txbxContent>
                  <w:p w14:paraId="50DDE92E" w14:textId="77777777" w:rsidR="00C10EF9" w:rsidRDefault="00C10EF9" w:rsidP="0078549D">
                    <w:r>
                      <w:rPr>
                        <w:noProof/>
                      </w:rPr>
                      <w:drawing>
                        <wp:inline distT="0" distB="0" distL="0" distR="0" wp14:anchorId="6C47645F" wp14:editId="09E2887A">
                          <wp:extent cx="1718310" cy="4451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1EAE"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13536" behindDoc="0" locked="0" layoutInCell="1" allowOverlap="1" wp14:anchorId="4B5BEB9C" wp14:editId="206AACC5">
              <wp:simplePos x="0" y="0"/>
              <wp:positionH relativeFrom="column">
                <wp:posOffset>-209550</wp:posOffset>
              </wp:positionH>
              <wp:positionV relativeFrom="paragraph">
                <wp:posOffset>-171450</wp:posOffset>
              </wp:positionV>
              <wp:extent cx="2695575" cy="54292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A5C74" w14:textId="77777777" w:rsidR="00C10EF9" w:rsidRDefault="00C10EF9" w:rsidP="00F42CDF">
                          <w:r>
                            <w:rPr>
                              <w:noProof/>
                            </w:rPr>
                            <w:drawing>
                              <wp:inline distT="0" distB="0" distL="0" distR="0" wp14:anchorId="06D9A775" wp14:editId="66F9FAC2">
                                <wp:extent cx="1718310" cy="4451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5BEB9C" id="_x0000_t202" coordsize="21600,21600" o:spt="202" path="m,l,21600r21600,l21600,xe">
              <v:stroke joinstyle="miter"/>
              <v:path gradientshapeok="t" o:connecttype="rect"/>
            </v:shapetype>
            <v:shape id="Text Box 63" o:spid="_x0000_s1042" type="#_x0000_t202" style="position:absolute;left:0;text-align:left;margin-left:-16.5pt;margin-top:-13.5pt;width:212.25pt;height:42.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C4&#10;D4lfggIAAGwFAAAOAAAAAAAAAAAAAAAAAC4CAABkcnMvZTJvRG9jLnhtbFBLAQItABQABgAIAAAA&#10;IQC+5Fgt4QAAAAoBAAAPAAAAAAAAAAAAAAAAANwEAABkcnMvZG93bnJldi54bWxQSwUGAAAAAAQA&#10;BADzAAAA6gUAAAAA&#10;" filled="f" stroked="f" strokeweight=".5pt">
              <v:textbox>
                <w:txbxContent>
                  <w:p w14:paraId="529A5C74" w14:textId="77777777" w:rsidR="00C10EF9" w:rsidRDefault="00C10EF9" w:rsidP="00F42CDF">
                    <w:r>
                      <w:rPr>
                        <w:noProof/>
                      </w:rPr>
                      <w:drawing>
                        <wp:inline distT="0" distB="0" distL="0" distR="0" wp14:anchorId="06D9A775" wp14:editId="66F9FAC2">
                          <wp:extent cx="1718310" cy="4451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37B3AFAF" w14:textId="77777777" w:rsidR="00C10EF9" w:rsidRDefault="00C10E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C4F" w14:textId="77777777" w:rsidR="00C10EF9" w:rsidRDefault="00C10EF9" w:rsidP="00E12D32">
    <w:pPr>
      <w:pStyle w:val="Header"/>
      <w:jc w:val="right"/>
    </w:pPr>
    <w:r w:rsidRPr="00497159">
      <w:rPr>
        <w:i/>
      </w:rPr>
      <w:t xml:space="preserve">Roe v. Wade </w:t>
    </w:r>
    <w:r w:rsidRPr="004264A5">
      <w:rPr>
        <w:iCs/>
      </w:rPr>
      <w:t>(1973)</w:t>
    </w:r>
    <w:r w:rsidRPr="00F42CDF">
      <w:rPr>
        <w:i/>
        <w:noProof/>
      </w:rPr>
      <mc:AlternateContent>
        <mc:Choice Requires="wps">
          <w:drawing>
            <wp:anchor distT="0" distB="0" distL="114300" distR="114300" simplePos="0" relativeHeight="251715584" behindDoc="0" locked="0" layoutInCell="1" allowOverlap="1" wp14:anchorId="0F3AA77E" wp14:editId="583837B5">
              <wp:simplePos x="0" y="0"/>
              <wp:positionH relativeFrom="column">
                <wp:posOffset>-209550</wp:posOffset>
              </wp:positionH>
              <wp:positionV relativeFrom="paragraph">
                <wp:posOffset>-171450</wp:posOffset>
              </wp:positionV>
              <wp:extent cx="2695575" cy="54292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5EFCB" w14:textId="77777777" w:rsidR="00C10EF9" w:rsidRDefault="00C10EF9" w:rsidP="0078549D">
                          <w:r>
                            <w:rPr>
                              <w:noProof/>
                            </w:rPr>
                            <w:drawing>
                              <wp:inline distT="0" distB="0" distL="0" distR="0" wp14:anchorId="000D2FBE" wp14:editId="14ED3C35">
                                <wp:extent cx="1718310" cy="44513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3AA77E" id="_x0000_t202" coordsize="21600,21600" o:spt="202" path="m,l,21600r21600,l21600,xe">
              <v:stroke joinstyle="miter"/>
              <v:path gradientshapeok="t" o:connecttype="rect"/>
            </v:shapetype>
            <v:shape id="Text Box 194" o:spid="_x0000_s1043" type="#_x0000_t202" style="position:absolute;left:0;text-align:left;margin-left:-16.5pt;margin-top:-13.5pt;width:212.25pt;height:42.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P3G&#10;cGCBAgAAbgUAAA4AAAAAAAAAAAAAAAAALgIAAGRycy9lMm9Eb2MueG1sUEsBAi0AFAAGAAgAAAAh&#10;AL7kWC3hAAAACgEAAA8AAAAAAAAAAAAAAAAA2wQAAGRycy9kb3ducmV2LnhtbFBLBQYAAAAABAAE&#10;APMAAADpBQAAAAA=&#10;" filled="f" stroked="f" strokeweight=".5pt">
              <v:textbox>
                <w:txbxContent>
                  <w:p w14:paraId="7245EFCB" w14:textId="77777777" w:rsidR="00C10EF9" w:rsidRDefault="00C10EF9" w:rsidP="0078549D">
                    <w:r>
                      <w:rPr>
                        <w:noProof/>
                      </w:rPr>
                      <w:drawing>
                        <wp:inline distT="0" distB="0" distL="0" distR="0" wp14:anchorId="000D2FBE" wp14:editId="14ED3C35">
                          <wp:extent cx="1718310" cy="44513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F60F"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16608" behindDoc="0" locked="0" layoutInCell="1" allowOverlap="1" wp14:anchorId="7FBDF7A9" wp14:editId="35D31797">
              <wp:simplePos x="0" y="0"/>
              <wp:positionH relativeFrom="column">
                <wp:posOffset>-209550</wp:posOffset>
              </wp:positionH>
              <wp:positionV relativeFrom="paragraph">
                <wp:posOffset>-171450</wp:posOffset>
              </wp:positionV>
              <wp:extent cx="2695575" cy="54292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68DC" w14:textId="77777777" w:rsidR="00C10EF9" w:rsidRDefault="00C10EF9" w:rsidP="00F42CDF">
                          <w:r>
                            <w:rPr>
                              <w:noProof/>
                            </w:rPr>
                            <w:drawing>
                              <wp:inline distT="0" distB="0" distL="0" distR="0" wp14:anchorId="5862C2D7" wp14:editId="5FD990BD">
                                <wp:extent cx="1718310" cy="4451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BDF7A9" id="_x0000_t202" coordsize="21600,21600" o:spt="202" path="m,l,21600r21600,l21600,xe">
              <v:stroke joinstyle="miter"/>
              <v:path gradientshapeok="t" o:connecttype="rect"/>
            </v:shapetype>
            <v:shape id="Text Box 195" o:spid="_x0000_s1044" type="#_x0000_t202" style="position:absolute;left:0;text-align:left;margin-left:-16.5pt;margin-top:-13.5pt;width:212.2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CG&#10;h32DggIAAG4FAAAOAAAAAAAAAAAAAAAAAC4CAABkcnMvZTJvRG9jLnhtbFBLAQItABQABgAIAAAA&#10;IQC+5Fgt4QAAAAoBAAAPAAAAAAAAAAAAAAAAANwEAABkcnMvZG93bnJldi54bWxQSwUGAAAAAAQA&#10;BADzAAAA6gUAAAAA&#10;" filled="f" stroked="f" strokeweight=".5pt">
              <v:textbox>
                <w:txbxContent>
                  <w:p w14:paraId="6C2B68DC" w14:textId="77777777" w:rsidR="00C10EF9" w:rsidRDefault="00C10EF9" w:rsidP="00F42CDF">
                    <w:r>
                      <w:rPr>
                        <w:noProof/>
                      </w:rPr>
                      <w:drawing>
                        <wp:inline distT="0" distB="0" distL="0" distR="0" wp14:anchorId="5862C2D7" wp14:editId="5FD990BD">
                          <wp:extent cx="1718310" cy="4451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1BB05CC4" w14:textId="77777777" w:rsidR="00C10EF9" w:rsidRDefault="00C1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0762" w14:textId="77777777" w:rsidR="00C10EF9" w:rsidRDefault="00C10EF9" w:rsidP="000C0D30">
    <w:pPr>
      <w:pStyle w:val="Header"/>
      <w:jc w:val="right"/>
    </w:pPr>
    <w:r w:rsidRPr="00E10979">
      <w:rPr>
        <w:i/>
      </w:rPr>
      <w:t>Baker v. Carr (1962)</w:t>
    </w:r>
    <w:r w:rsidRPr="008A3806">
      <w:rPr>
        <w:noProof/>
      </w:rPr>
      <mc:AlternateContent>
        <mc:Choice Requires="wps">
          <w:drawing>
            <wp:anchor distT="0" distB="0" distL="114300" distR="114300" simplePos="0" relativeHeight="251661312" behindDoc="0" locked="0" layoutInCell="1" allowOverlap="1" wp14:anchorId="6A32228B" wp14:editId="20640D48">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71C8D" w14:textId="77777777" w:rsidR="00C10EF9" w:rsidRDefault="00C10EF9" w:rsidP="00F42CDF">
                          <w:r>
                            <w:rPr>
                              <w:noProof/>
                            </w:rPr>
                            <w:drawing>
                              <wp:inline distT="0" distB="0" distL="0" distR="0" wp14:anchorId="2C621B4D" wp14:editId="4ABE26E6">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32228B"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14:paraId="28971C8D" w14:textId="77777777" w:rsidR="00C10EF9" w:rsidRDefault="00C10EF9" w:rsidP="00F42CDF">
                    <w:r>
                      <w:rPr>
                        <w:noProof/>
                      </w:rPr>
                      <w:drawing>
                        <wp:inline distT="0" distB="0" distL="0" distR="0" wp14:anchorId="2C621B4D" wp14:editId="4ABE26E6">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C90B" w14:textId="77777777" w:rsidR="00C10EF9" w:rsidRDefault="00C10EF9" w:rsidP="00391EA0">
    <w:pPr>
      <w:pStyle w:val="Header"/>
      <w:jc w:val="right"/>
    </w:pPr>
    <w:r w:rsidRPr="00D97FDB">
      <w:rPr>
        <w:i/>
        <w:iCs/>
        <w:sz w:val="22"/>
        <w:szCs w:val="20"/>
      </w:rPr>
      <w:t xml:space="preserve">Schenck v. United States </w:t>
    </w:r>
    <w:r w:rsidRPr="004264A5">
      <w:rPr>
        <w:sz w:val="22"/>
        <w:szCs w:val="20"/>
      </w:rPr>
      <w:t>(1919)</w:t>
    </w:r>
    <w:r w:rsidRPr="00F42CDF">
      <w:rPr>
        <w:i/>
        <w:noProof/>
      </w:rPr>
      <mc:AlternateContent>
        <mc:Choice Requires="wps">
          <w:drawing>
            <wp:anchor distT="0" distB="0" distL="114300" distR="114300" simplePos="0" relativeHeight="251718656" behindDoc="0" locked="0" layoutInCell="1" allowOverlap="1" wp14:anchorId="3CF929CC" wp14:editId="3DC53CDE">
              <wp:simplePos x="0" y="0"/>
              <wp:positionH relativeFrom="column">
                <wp:posOffset>-209550</wp:posOffset>
              </wp:positionH>
              <wp:positionV relativeFrom="paragraph">
                <wp:posOffset>-171450</wp:posOffset>
              </wp:positionV>
              <wp:extent cx="2695575" cy="54292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39600" w14:textId="77777777" w:rsidR="00C10EF9" w:rsidRDefault="00C10EF9" w:rsidP="0078549D">
                          <w:r>
                            <w:rPr>
                              <w:noProof/>
                            </w:rPr>
                            <w:drawing>
                              <wp:inline distT="0" distB="0" distL="0" distR="0" wp14:anchorId="3A4E3E37" wp14:editId="66B59101">
                                <wp:extent cx="1718310" cy="4451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F929CC" id="_x0000_t202" coordsize="21600,21600" o:spt="202" path="m,l,21600r21600,l21600,xe">
              <v:stroke joinstyle="miter"/>
              <v:path gradientshapeok="t" o:connecttype="rect"/>
            </v:shapetype>
            <v:shape id="Text Box 198" o:spid="_x0000_s1045" type="#_x0000_t202" style="position:absolute;left:0;text-align:left;margin-left:-16.5pt;margin-top:-13.5pt;width:212.25pt;height:42.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Cl&#10;VmukggIAAG4FAAAOAAAAAAAAAAAAAAAAAC4CAABkcnMvZTJvRG9jLnhtbFBLAQItABQABgAIAAAA&#10;IQC+5Fgt4QAAAAoBAAAPAAAAAAAAAAAAAAAAANwEAABkcnMvZG93bnJldi54bWxQSwUGAAAAAAQA&#10;BADzAAAA6gUAAAAA&#10;" filled="f" stroked="f" strokeweight=".5pt">
              <v:textbox>
                <w:txbxContent>
                  <w:p w14:paraId="31739600" w14:textId="77777777" w:rsidR="00C10EF9" w:rsidRDefault="00C10EF9" w:rsidP="0078549D">
                    <w:r>
                      <w:rPr>
                        <w:noProof/>
                      </w:rPr>
                      <w:drawing>
                        <wp:inline distT="0" distB="0" distL="0" distR="0" wp14:anchorId="3A4E3E37" wp14:editId="66B59101">
                          <wp:extent cx="1718310" cy="4451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FF5" w14:textId="77777777" w:rsidR="00C10EF9" w:rsidRPr="00D97FDB" w:rsidRDefault="00C10EF9" w:rsidP="00F42CDF">
    <w:pPr>
      <w:pStyle w:val="Header"/>
      <w:jc w:val="right"/>
      <w:rPr>
        <w:sz w:val="22"/>
        <w:szCs w:val="20"/>
      </w:rPr>
    </w:pPr>
    <w:r w:rsidRPr="00D97FDB">
      <w:rPr>
        <w:noProof/>
        <w:sz w:val="22"/>
        <w:szCs w:val="20"/>
      </w:rPr>
      <mc:AlternateContent>
        <mc:Choice Requires="wps">
          <w:drawing>
            <wp:anchor distT="0" distB="0" distL="114300" distR="114300" simplePos="0" relativeHeight="251719680" behindDoc="0" locked="0" layoutInCell="1" allowOverlap="1" wp14:anchorId="52BCEE9C" wp14:editId="351AA7F8">
              <wp:simplePos x="0" y="0"/>
              <wp:positionH relativeFrom="column">
                <wp:posOffset>-209550</wp:posOffset>
              </wp:positionH>
              <wp:positionV relativeFrom="paragraph">
                <wp:posOffset>-171450</wp:posOffset>
              </wp:positionV>
              <wp:extent cx="2695575" cy="54292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8C913" w14:textId="77777777" w:rsidR="00C10EF9" w:rsidRDefault="00C10EF9" w:rsidP="00F42CDF">
                          <w:r>
                            <w:rPr>
                              <w:noProof/>
                            </w:rPr>
                            <w:drawing>
                              <wp:inline distT="0" distB="0" distL="0" distR="0" wp14:anchorId="4096C574" wp14:editId="7321CE07">
                                <wp:extent cx="1718310" cy="44513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BCEE9C" id="_x0000_t202" coordsize="21600,21600" o:spt="202" path="m,l,21600r21600,l21600,xe">
              <v:stroke joinstyle="miter"/>
              <v:path gradientshapeok="t" o:connecttype="rect"/>
            </v:shapetype>
            <v:shape id="Text Box 199" o:spid="_x0000_s1046" type="#_x0000_t202" style="position:absolute;left:0;text-align:left;margin-left:-16.5pt;margin-top:-13.5pt;width:212.25pt;height:42.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10;05ROggIAAG4FAAAOAAAAAAAAAAAAAAAAAC4CAABkcnMvZTJvRG9jLnhtbFBLAQItABQABgAIAAAA&#10;IQC+5Fgt4QAAAAoBAAAPAAAAAAAAAAAAAAAAANwEAABkcnMvZG93bnJldi54bWxQSwUGAAAAAAQA&#10;BADzAAAA6gUAAAAA&#10;" filled="f" stroked="f" strokeweight=".5pt">
              <v:textbox>
                <w:txbxContent>
                  <w:p w14:paraId="5E88C913" w14:textId="77777777" w:rsidR="00C10EF9" w:rsidRDefault="00C10EF9" w:rsidP="00F42CDF">
                    <w:r>
                      <w:rPr>
                        <w:noProof/>
                      </w:rPr>
                      <w:drawing>
                        <wp:inline distT="0" distB="0" distL="0" distR="0" wp14:anchorId="4096C574" wp14:editId="7321CE07">
                          <wp:extent cx="1718310" cy="44513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D97FDB">
      <w:rPr>
        <w:sz w:val="22"/>
        <w:szCs w:val="20"/>
      </w:rPr>
      <w:t>Street Law Case Summary</w:t>
    </w:r>
  </w:p>
  <w:p w14:paraId="2181CF20" w14:textId="77777777" w:rsidR="00C10EF9" w:rsidRDefault="00C10EF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1526" w14:textId="77777777" w:rsidR="00C10EF9" w:rsidRPr="00F42CDF" w:rsidRDefault="00C10EF9" w:rsidP="00E12D32">
    <w:pPr>
      <w:pStyle w:val="Header"/>
      <w:jc w:val="center"/>
      <w:rPr>
        <w:i/>
      </w:rPr>
    </w:pPr>
    <w:r>
      <w:rPr>
        <w:i/>
      </w:rPr>
      <w:tab/>
    </w:r>
    <w:r>
      <w:rPr>
        <w:i/>
      </w:rPr>
      <w:tab/>
    </w:r>
    <w:r w:rsidRPr="008F2827">
      <w:rPr>
        <w:i/>
      </w:rPr>
      <w:t xml:space="preserve">Shaw v. Reno </w:t>
    </w:r>
    <w:r w:rsidRPr="004264A5">
      <w:rPr>
        <w:iCs/>
      </w:rPr>
      <w:t>(1993)</w:t>
    </w:r>
    <w:r w:rsidRPr="00F42CDF">
      <w:rPr>
        <w:i/>
        <w:noProof/>
      </w:rPr>
      <mc:AlternateContent>
        <mc:Choice Requires="wps">
          <w:drawing>
            <wp:anchor distT="0" distB="0" distL="114300" distR="114300" simplePos="0" relativeHeight="251721728" behindDoc="0" locked="0" layoutInCell="1" allowOverlap="1" wp14:anchorId="6467EF65" wp14:editId="0257F17A">
              <wp:simplePos x="0" y="0"/>
              <wp:positionH relativeFrom="column">
                <wp:posOffset>-209550</wp:posOffset>
              </wp:positionH>
              <wp:positionV relativeFrom="paragraph">
                <wp:posOffset>-171450</wp:posOffset>
              </wp:positionV>
              <wp:extent cx="2695575" cy="542925"/>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37D8" w14:textId="77777777" w:rsidR="00C10EF9" w:rsidRDefault="00C10EF9" w:rsidP="0078549D">
                          <w:r>
                            <w:rPr>
                              <w:noProof/>
                            </w:rPr>
                            <w:drawing>
                              <wp:inline distT="0" distB="0" distL="0" distR="0" wp14:anchorId="18A5169E" wp14:editId="106173C8">
                                <wp:extent cx="1718310" cy="44513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7EF65" id="_x0000_t202" coordsize="21600,21600" o:spt="202" path="m,l,21600r21600,l21600,xe">
              <v:stroke joinstyle="miter"/>
              <v:path gradientshapeok="t" o:connecttype="rect"/>
            </v:shapetype>
            <v:shape id="Text Box 202" o:spid="_x0000_s1047" type="#_x0000_t202" style="position:absolute;left:0;text-align:left;margin-left:-16.5pt;margin-top:-13.5pt;width:212.25pt;height:42.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CL&#10;qAc8ggIAAG4FAAAOAAAAAAAAAAAAAAAAAC4CAABkcnMvZTJvRG9jLnhtbFBLAQItABQABgAIAAAA&#10;IQC+5Fgt4QAAAAoBAAAPAAAAAAAAAAAAAAAAANwEAABkcnMvZG93bnJldi54bWxQSwUGAAAAAAQA&#10;BADzAAAA6gUAAAAA&#10;" filled="f" stroked="f" strokeweight=".5pt">
              <v:textbox>
                <w:txbxContent>
                  <w:p w14:paraId="715937D8" w14:textId="77777777" w:rsidR="00C10EF9" w:rsidRDefault="00C10EF9" w:rsidP="0078549D">
                    <w:r>
                      <w:rPr>
                        <w:noProof/>
                      </w:rPr>
                      <w:drawing>
                        <wp:inline distT="0" distB="0" distL="0" distR="0" wp14:anchorId="18A5169E" wp14:editId="106173C8">
                          <wp:extent cx="1718310" cy="44513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p w14:paraId="3EAF211B" w14:textId="77777777" w:rsidR="00C10EF9" w:rsidRDefault="00C10EF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9595"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22752" behindDoc="0" locked="0" layoutInCell="1" allowOverlap="1" wp14:anchorId="02D78B7F" wp14:editId="220F4721">
              <wp:simplePos x="0" y="0"/>
              <wp:positionH relativeFrom="column">
                <wp:posOffset>-209550</wp:posOffset>
              </wp:positionH>
              <wp:positionV relativeFrom="paragraph">
                <wp:posOffset>-171450</wp:posOffset>
              </wp:positionV>
              <wp:extent cx="2695575" cy="54292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84F8" w14:textId="77777777" w:rsidR="00C10EF9" w:rsidRDefault="00C10EF9" w:rsidP="00F42CDF">
                          <w:r>
                            <w:rPr>
                              <w:noProof/>
                            </w:rPr>
                            <w:drawing>
                              <wp:inline distT="0" distB="0" distL="0" distR="0" wp14:anchorId="04FE7E8D" wp14:editId="32499B99">
                                <wp:extent cx="1718310" cy="44513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D78B7F" id="_x0000_t202" coordsize="21600,21600" o:spt="202" path="m,l,21600r21600,l21600,xe">
              <v:stroke joinstyle="miter"/>
              <v:path gradientshapeok="t" o:connecttype="rect"/>
            </v:shapetype>
            <v:shape id="Text Box 203" o:spid="_x0000_s1048" type="#_x0000_t202" style="position:absolute;left:0;text-align:left;margin-left:-16.5pt;margin-top:-13.5pt;width:212.25pt;height:42.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M6AeIIMCAABuBQAADgAAAAAAAAAAAAAAAAAuAgAAZHJzL2Uyb0RvYy54bWxQSwECLQAUAAYACAAA&#10;ACEAvuRYLeEAAAAKAQAADwAAAAAAAAAAAAAAAADdBAAAZHJzL2Rvd25yZXYueG1sUEsFBgAAAAAE&#10;AAQA8wAAAOsFAAAAAA==&#10;" filled="f" stroked="f" strokeweight=".5pt">
              <v:textbox>
                <w:txbxContent>
                  <w:p w14:paraId="05A384F8" w14:textId="77777777" w:rsidR="00C10EF9" w:rsidRDefault="00C10EF9" w:rsidP="00F42CDF">
                    <w:r>
                      <w:rPr>
                        <w:noProof/>
                      </w:rPr>
                      <w:drawing>
                        <wp:inline distT="0" distB="0" distL="0" distR="0" wp14:anchorId="04FE7E8D" wp14:editId="32499B99">
                          <wp:extent cx="1718310" cy="44513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39F3363E" w14:textId="77777777" w:rsidR="00C10EF9" w:rsidRDefault="00C10EF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8999" w14:textId="77777777" w:rsidR="00C10EF9" w:rsidRPr="00F42CDF" w:rsidRDefault="00C10EF9" w:rsidP="0078549D">
    <w:pPr>
      <w:pStyle w:val="Header"/>
      <w:jc w:val="right"/>
      <w:rPr>
        <w:i/>
      </w:rPr>
    </w:pPr>
    <w:r w:rsidRPr="004475C6">
      <w:rPr>
        <w:i/>
      </w:rPr>
      <w:t>Tinker v. Des Moines</w:t>
    </w:r>
    <w:r w:rsidRPr="00F42CDF">
      <w:rPr>
        <w:i/>
        <w:noProof/>
      </w:rPr>
      <mc:AlternateContent>
        <mc:Choice Requires="wps">
          <w:drawing>
            <wp:anchor distT="0" distB="0" distL="114300" distR="114300" simplePos="0" relativeHeight="251724800" behindDoc="0" locked="0" layoutInCell="1" allowOverlap="1" wp14:anchorId="4090E31F" wp14:editId="11660131">
              <wp:simplePos x="0" y="0"/>
              <wp:positionH relativeFrom="column">
                <wp:posOffset>-209550</wp:posOffset>
              </wp:positionH>
              <wp:positionV relativeFrom="paragraph">
                <wp:posOffset>-171450</wp:posOffset>
              </wp:positionV>
              <wp:extent cx="2695575" cy="542925"/>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835DB" w14:textId="77777777" w:rsidR="00C10EF9" w:rsidRDefault="00C10EF9" w:rsidP="0078549D">
                          <w:r>
                            <w:rPr>
                              <w:noProof/>
                            </w:rPr>
                            <w:drawing>
                              <wp:inline distT="0" distB="0" distL="0" distR="0" wp14:anchorId="0FC463DA" wp14:editId="7C374FC0">
                                <wp:extent cx="1718310" cy="4451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90E31F" id="_x0000_t202" coordsize="21600,21600" o:spt="202" path="m,l,21600r21600,l21600,xe">
              <v:stroke joinstyle="miter"/>
              <v:path gradientshapeok="t" o:connecttype="rect"/>
            </v:shapetype>
            <v:shape id="Text Box 206" o:spid="_x0000_s1049" type="#_x0000_t202" style="position:absolute;left:0;text-align:left;margin-left:-16.5pt;margin-top:-13.5pt;width:212.25pt;height:42.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F6GZwoMCAABuBQAADgAAAAAAAAAAAAAAAAAuAgAAZHJzL2Uyb0RvYy54bWxQSwECLQAUAAYACAAA&#10;ACEAvuRYLeEAAAAKAQAADwAAAAAAAAAAAAAAAADdBAAAZHJzL2Rvd25yZXYueG1sUEsFBgAAAAAE&#10;AAQA8wAAAOsFAAAAAA==&#10;" filled="f" stroked="f" strokeweight=".5pt">
              <v:textbox>
                <w:txbxContent>
                  <w:p w14:paraId="7B3835DB" w14:textId="77777777" w:rsidR="00C10EF9" w:rsidRDefault="00C10EF9" w:rsidP="0078549D">
                    <w:r>
                      <w:rPr>
                        <w:noProof/>
                      </w:rPr>
                      <w:drawing>
                        <wp:inline distT="0" distB="0" distL="0" distR="0" wp14:anchorId="0FC463DA" wp14:editId="7C374FC0">
                          <wp:extent cx="1718310" cy="4451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 xml:space="preserve"> </w:t>
    </w:r>
    <w:r w:rsidRPr="004264A5">
      <w:rPr>
        <w:iCs/>
      </w:rPr>
      <w:t>(1969)</w:t>
    </w:r>
  </w:p>
  <w:p w14:paraId="51FE6B4D" w14:textId="77777777" w:rsidR="00C10EF9" w:rsidRDefault="00C10EF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70B"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25824" behindDoc="0" locked="0" layoutInCell="1" allowOverlap="1" wp14:anchorId="114881FB" wp14:editId="25AF311C">
              <wp:simplePos x="0" y="0"/>
              <wp:positionH relativeFrom="column">
                <wp:posOffset>-209550</wp:posOffset>
              </wp:positionH>
              <wp:positionV relativeFrom="paragraph">
                <wp:posOffset>-171450</wp:posOffset>
              </wp:positionV>
              <wp:extent cx="2695575" cy="54292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B635F" w14:textId="77777777" w:rsidR="00C10EF9" w:rsidRDefault="00C10EF9" w:rsidP="00F42CDF">
                          <w:r>
                            <w:rPr>
                              <w:noProof/>
                            </w:rPr>
                            <w:drawing>
                              <wp:inline distT="0" distB="0" distL="0" distR="0" wp14:anchorId="266A67E3" wp14:editId="5B2047CE">
                                <wp:extent cx="1718310" cy="44513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4881FB" id="_x0000_t202" coordsize="21600,21600" o:spt="202" path="m,l,21600r21600,l21600,xe">
              <v:stroke joinstyle="miter"/>
              <v:path gradientshapeok="t" o:connecttype="rect"/>
            </v:shapetype>
            <v:shape id="Text Box 207" o:spid="_x0000_s1050" type="#_x0000_t202" style="position:absolute;left:0;text-align:left;margin-left:-16.5pt;margin-top:-13.5pt;width:212.25pt;height:42.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0WxcPYMCAABuBQAADgAAAAAAAAAAAAAAAAAuAgAAZHJzL2Uyb0RvYy54bWxQSwECLQAUAAYACAAA&#10;ACEAvuRYLeEAAAAKAQAADwAAAAAAAAAAAAAAAADdBAAAZHJzL2Rvd25yZXYueG1sUEsFBgAAAAAE&#10;AAQA8wAAAOsFAAAAAA==&#10;" filled="f" stroked="f" strokeweight=".5pt">
              <v:textbox>
                <w:txbxContent>
                  <w:p w14:paraId="70FB635F" w14:textId="77777777" w:rsidR="00C10EF9" w:rsidRDefault="00C10EF9" w:rsidP="00F42CDF">
                    <w:r>
                      <w:rPr>
                        <w:noProof/>
                      </w:rPr>
                      <w:drawing>
                        <wp:inline distT="0" distB="0" distL="0" distR="0" wp14:anchorId="266A67E3" wp14:editId="5B2047CE">
                          <wp:extent cx="1718310" cy="44513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0A97AF85" w14:textId="77777777" w:rsidR="00C10EF9" w:rsidRDefault="00C10EF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D052" w14:textId="77777777" w:rsidR="00C10EF9" w:rsidRDefault="00C10EF9" w:rsidP="00E12D32">
    <w:pPr>
      <w:pStyle w:val="Header"/>
      <w:jc w:val="right"/>
    </w:pPr>
    <w:r w:rsidRPr="00381577">
      <w:rPr>
        <w:i/>
      </w:rPr>
      <w:t xml:space="preserve">United States v. Lopez </w:t>
    </w:r>
    <w:r w:rsidRPr="004264A5">
      <w:rPr>
        <w:iCs/>
      </w:rPr>
      <w:t>(1995)</w:t>
    </w:r>
    <w:r w:rsidRPr="00F42CDF">
      <w:rPr>
        <w:i/>
        <w:noProof/>
      </w:rPr>
      <mc:AlternateContent>
        <mc:Choice Requires="wps">
          <w:drawing>
            <wp:anchor distT="0" distB="0" distL="114300" distR="114300" simplePos="0" relativeHeight="251727872" behindDoc="0" locked="0" layoutInCell="1" allowOverlap="1" wp14:anchorId="3BE5054D" wp14:editId="5C0929CC">
              <wp:simplePos x="0" y="0"/>
              <wp:positionH relativeFrom="column">
                <wp:posOffset>-209550</wp:posOffset>
              </wp:positionH>
              <wp:positionV relativeFrom="paragraph">
                <wp:posOffset>-171450</wp:posOffset>
              </wp:positionV>
              <wp:extent cx="2695575" cy="54292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394DB" w14:textId="77777777" w:rsidR="00C10EF9" w:rsidRDefault="00C10EF9" w:rsidP="0078549D">
                          <w:r>
                            <w:rPr>
                              <w:noProof/>
                            </w:rPr>
                            <w:drawing>
                              <wp:inline distT="0" distB="0" distL="0" distR="0" wp14:anchorId="62D52648" wp14:editId="262A7A9D">
                                <wp:extent cx="1718310" cy="44513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E5054D" id="_x0000_t202" coordsize="21600,21600" o:spt="202" path="m,l,21600r21600,l21600,xe">
              <v:stroke joinstyle="miter"/>
              <v:path gradientshapeok="t" o:connecttype="rect"/>
            </v:shapetype>
            <v:shape id="Text Box 210" o:spid="_x0000_s1051" type="#_x0000_t202" style="position:absolute;left:0;text-align:left;margin-left:-16.5pt;margin-top:-13.5pt;width:212.25pt;height:42.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kpq9&#10;K4ACAABuBQAADgAAAAAAAAAAAAAAAAAuAgAAZHJzL2Uyb0RvYy54bWxQSwECLQAUAAYACAAAACEA&#10;vuRYLeEAAAAKAQAADwAAAAAAAAAAAAAAAADaBAAAZHJzL2Rvd25yZXYueG1sUEsFBgAAAAAEAAQA&#10;8wAAAOgFAAAAAA==&#10;" filled="f" stroked="f" strokeweight=".5pt">
              <v:textbox>
                <w:txbxContent>
                  <w:p w14:paraId="584394DB" w14:textId="77777777" w:rsidR="00C10EF9" w:rsidRDefault="00C10EF9" w:rsidP="0078549D">
                    <w:r>
                      <w:rPr>
                        <w:noProof/>
                      </w:rPr>
                      <w:drawing>
                        <wp:inline distT="0" distB="0" distL="0" distR="0" wp14:anchorId="62D52648" wp14:editId="262A7A9D">
                          <wp:extent cx="1718310" cy="44513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110"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28896" behindDoc="0" locked="0" layoutInCell="1" allowOverlap="1" wp14:anchorId="6695543E" wp14:editId="09CDC643">
              <wp:simplePos x="0" y="0"/>
              <wp:positionH relativeFrom="column">
                <wp:posOffset>-209550</wp:posOffset>
              </wp:positionH>
              <wp:positionV relativeFrom="paragraph">
                <wp:posOffset>-171450</wp:posOffset>
              </wp:positionV>
              <wp:extent cx="2695575" cy="542925"/>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A670" w14:textId="77777777" w:rsidR="00C10EF9" w:rsidRDefault="00C10EF9" w:rsidP="00F42CDF">
                          <w:r>
                            <w:rPr>
                              <w:noProof/>
                            </w:rPr>
                            <w:drawing>
                              <wp:inline distT="0" distB="0" distL="0" distR="0" wp14:anchorId="2285B4E7" wp14:editId="7E79B850">
                                <wp:extent cx="1718310" cy="44513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5543E" id="_x0000_t202" coordsize="21600,21600" o:spt="202" path="m,l,21600r21600,l21600,xe">
              <v:stroke joinstyle="miter"/>
              <v:path gradientshapeok="t" o:connecttype="rect"/>
            </v:shapetype>
            <v:shape id="Text Box 211" o:spid="_x0000_s1052" type="#_x0000_t202" style="position:absolute;left:0;text-align:left;margin-left:-16.5pt;margin-top:-13.5pt;width:212.25pt;height:42.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KpKkN4MCAABuBQAADgAAAAAAAAAAAAAAAAAuAgAAZHJzL2Uyb0RvYy54bWxQSwECLQAUAAYACAAA&#10;ACEAvuRYLeEAAAAKAQAADwAAAAAAAAAAAAAAAADdBAAAZHJzL2Rvd25yZXYueG1sUEsFBgAAAAAE&#10;AAQA8wAAAOsFAAAAAA==&#10;" filled="f" stroked="f" strokeweight=".5pt">
              <v:textbox>
                <w:txbxContent>
                  <w:p w14:paraId="46AEA670" w14:textId="77777777" w:rsidR="00C10EF9" w:rsidRDefault="00C10EF9" w:rsidP="00F42CDF">
                    <w:r>
                      <w:rPr>
                        <w:noProof/>
                      </w:rPr>
                      <w:drawing>
                        <wp:inline distT="0" distB="0" distL="0" distR="0" wp14:anchorId="2285B4E7" wp14:editId="7E79B850">
                          <wp:extent cx="1718310" cy="44513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695AEC80" w14:textId="77777777" w:rsidR="00C10EF9" w:rsidRDefault="00C10EF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B99F" w14:textId="77777777" w:rsidR="00C10EF9" w:rsidRDefault="00C10EF9" w:rsidP="00391EA0">
    <w:pPr>
      <w:pStyle w:val="Header"/>
      <w:jc w:val="right"/>
    </w:pPr>
    <w:r w:rsidRPr="00E75C46">
      <w:rPr>
        <w:i/>
      </w:rPr>
      <w:t>Wisconsin v. Yoder</w:t>
    </w:r>
    <w:r>
      <w:rPr>
        <w:i/>
      </w:rPr>
      <w:t xml:space="preserve"> </w:t>
    </w:r>
    <w:r w:rsidRPr="004264A5">
      <w:rPr>
        <w:iCs/>
      </w:rPr>
      <w:t>(1972)</w:t>
    </w:r>
    <w:r w:rsidRPr="00F42CDF">
      <w:rPr>
        <w:i/>
        <w:noProof/>
      </w:rPr>
      <mc:AlternateContent>
        <mc:Choice Requires="wps">
          <w:drawing>
            <wp:anchor distT="0" distB="0" distL="114300" distR="114300" simplePos="0" relativeHeight="251730944" behindDoc="0" locked="0" layoutInCell="1" allowOverlap="1" wp14:anchorId="6A73D126" wp14:editId="782B96D6">
              <wp:simplePos x="0" y="0"/>
              <wp:positionH relativeFrom="column">
                <wp:posOffset>-209550</wp:posOffset>
              </wp:positionH>
              <wp:positionV relativeFrom="paragraph">
                <wp:posOffset>-171450</wp:posOffset>
              </wp:positionV>
              <wp:extent cx="2695575" cy="542925"/>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91A08" w14:textId="77777777" w:rsidR="00C10EF9" w:rsidRDefault="00C10EF9" w:rsidP="0078549D">
                          <w:r>
                            <w:rPr>
                              <w:noProof/>
                            </w:rPr>
                            <w:drawing>
                              <wp:inline distT="0" distB="0" distL="0" distR="0" wp14:anchorId="75DA406C" wp14:editId="50E676B4">
                                <wp:extent cx="1718310" cy="44513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73D126" id="_x0000_t202" coordsize="21600,21600" o:spt="202" path="m,l,21600r21600,l21600,xe">
              <v:stroke joinstyle="miter"/>
              <v:path gradientshapeok="t" o:connecttype="rect"/>
            </v:shapetype>
            <v:shape id="Text Box 214" o:spid="_x0000_s1053" type="#_x0000_t202" style="position:absolute;left:0;text-align:left;margin-left:-16.5pt;margin-top:-13.5pt;width:212.25pt;height:42.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DpMj1YMCAABuBQAADgAAAAAAAAAAAAAAAAAuAgAAZHJzL2Uyb0RvYy54bWxQSwECLQAUAAYACAAA&#10;ACEAvuRYLeEAAAAKAQAADwAAAAAAAAAAAAAAAADdBAAAZHJzL2Rvd25yZXYueG1sUEsFBgAAAAAE&#10;AAQA8wAAAOsFAAAAAA==&#10;" filled="f" stroked="f" strokeweight=".5pt">
              <v:textbox>
                <w:txbxContent>
                  <w:p w14:paraId="3D891A08" w14:textId="77777777" w:rsidR="00C10EF9" w:rsidRDefault="00C10EF9" w:rsidP="0078549D">
                    <w:r>
                      <w:rPr>
                        <w:noProof/>
                      </w:rPr>
                      <w:drawing>
                        <wp:inline distT="0" distB="0" distL="0" distR="0" wp14:anchorId="75DA406C" wp14:editId="50E676B4">
                          <wp:extent cx="1718310" cy="44513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B87A" w14:textId="77777777" w:rsidR="00C10EF9" w:rsidRPr="008A3806" w:rsidRDefault="00C10EF9" w:rsidP="00F42CDF">
    <w:pPr>
      <w:pStyle w:val="Header"/>
      <w:jc w:val="right"/>
    </w:pPr>
    <w:r w:rsidRPr="008A3806">
      <w:rPr>
        <w:noProof/>
      </w:rPr>
      <mc:AlternateContent>
        <mc:Choice Requires="wps">
          <w:drawing>
            <wp:anchor distT="0" distB="0" distL="114300" distR="114300" simplePos="0" relativeHeight="251731968" behindDoc="0" locked="0" layoutInCell="1" allowOverlap="1" wp14:anchorId="3B468F7F" wp14:editId="1CFBC970">
              <wp:simplePos x="0" y="0"/>
              <wp:positionH relativeFrom="column">
                <wp:posOffset>-209550</wp:posOffset>
              </wp:positionH>
              <wp:positionV relativeFrom="paragraph">
                <wp:posOffset>-171450</wp:posOffset>
              </wp:positionV>
              <wp:extent cx="2695575" cy="542925"/>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4C0D1" w14:textId="77777777" w:rsidR="00C10EF9" w:rsidRDefault="00C10EF9" w:rsidP="00F42CDF">
                          <w:r>
                            <w:rPr>
                              <w:noProof/>
                            </w:rPr>
                            <w:drawing>
                              <wp:inline distT="0" distB="0" distL="0" distR="0" wp14:anchorId="4AF74C75" wp14:editId="0C3CF3EE">
                                <wp:extent cx="1718310" cy="44513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468F7F" id="_x0000_t202" coordsize="21600,21600" o:spt="202" path="m,l,21600r21600,l21600,xe">
              <v:stroke joinstyle="miter"/>
              <v:path gradientshapeok="t" o:connecttype="rect"/>
            </v:shapetype>
            <v:shape id="Text Box 215" o:spid="_x0000_s1054" type="#_x0000_t202" style="position:absolute;left:0;text-align:left;margin-left:-16.5pt;margin-top:-13.5pt;width:212.25pt;height:42.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1&#10;0i42ggIAAG4FAAAOAAAAAAAAAAAAAAAAAC4CAABkcnMvZTJvRG9jLnhtbFBLAQItABQABgAIAAAA&#10;IQC+5Fgt4QAAAAoBAAAPAAAAAAAAAAAAAAAAANwEAABkcnMvZG93bnJldi54bWxQSwUGAAAAAAQA&#10;BADzAAAA6gUAAAAA&#10;" filled="f" stroked="f" strokeweight=".5pt">
              <v:textbox>
                <w:txbxContent>
                  <w:p w14:paraId="3464C0D1" w14:textId="77777777" w:rsidR="00C10EF9" w:rsidRDefault="00C10EF9" w:rsidP="00F42CDF">
                    <w:r>
                      <w:rPr>
                        <w:noProof/>
                      </w:rPr>
                      <w:drawing>
                        <wp:inline distT="0" distB="0" distL="0" distR="0" wp14:anchorId="4AF74C75" wp14:editId="0C3CF3EE">
                          <wp:extent cx="1718310" cy="44513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t>Street Law Case Summary</w:t>
    </w:r>
  </w:p>
  <w:p w14:paraId="5BE3095E" w14:textId="77777777" w:rsidR="00C10EF9" w:rsidRDefault="00C1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EE5B" w14:textId="77777777" w:rsidR="00C10EF9" w:rsidRPr="00637650" w:rsidRDefault="00C10EF9" w:rsidP="00E12D32">
    <w:pPr>
      <w:pStyle w:val="Header"/>
      <w:jc w:val="right"/>
      <w:rPr>
        <w:sz w:val="22"/>
        <w:szCs w:val="20"/>
      </w:rPr>
    </w:pPr>
    <w:r w:rsidRPr="00637650">
      <w:rPr>
        <w:i/>
        <w:iCs/>
        <w:noProof/>
        <w:sz w:val="22"/>
        <w:szCs w:val="20"/>
      </w:rPr>
      <mc:AlternateContent>
        <mc:Choice Requires="wps">
          <w:drawing>
            <wp:anchor distT="0" distB="0" distL="114300" distR="114300" simplePos="0" relativeHeight="251694080" behindDoc="0" locked="0" layoutInCell="1" allowOverlap="1" wp14:anchorId="1C09EE78" wp14:editId="440E2418">
              <wp:simplePos x="0" y="0"/>
              <wp:positionH relativeFrom="column">
                <wp:posOffset>-209550</wp:posOffset>
              </wp:positionH>
              <wp:positionV relativeFrom="paragraph">
                <wp:posOffset>-171450</wp:posOffset>
              </wp:positionV>
              <wp:extent cx="2695575" cy="5429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60B1B" w14:textId="77777777" w:rsidR="00C10EF9" w:rsidRDefault="00C10EF9" w:rsidP="00E12D32">
                          <w:r>
                            <w:rPr>
                              <w:noProof/>
                            </w:rPr>
                            <w:drawing>
                              <wp:inline distT="0" distB="0" distL="0" distR="0" wp14:anchorId="75C4FDE5" wp14:editId="214D3A65">
                                <wp:extent cx="1718310" cy="445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09EE78" id="_x0000_t202" coordsize="21600,21600" o:spt="202" path="m,l,21600r21600,l21600,xe">
              <v:stroke joinstyle="miter"/>
              <v:path gradientshapeok="t" o:connecttype="rect"/>
            </v:shapetype>
            <v:shape id="Text Box 26" o:spid="_x0000_s1028" type="#_x0000_t202" style="position:absolute;left:0;text-align:left;margin-left:-16.5pt;margin-top:-13.5pt;width:212.25pt;height:42.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5&#10;KzwcggIAAGsFAAAOAAAAAAAAAAAAAAAAAC4CAABkcnMvZTJvRG9jLnhtbFBLAQItABQABgAIAAAA&#10;IQC+5Fgt4QAAAAoBAAAPAAAAAAAAAAAAAAAAANwEAABkcnMvZG93bnJldi54bWxQSwUGAAAAAAQA&#10;BADzAAAA6gUAAAAA&#10;" filled="f" stroked="f" strokeweight=".5pt">
              <v:textbox>
                <w:txbxContent>
                  <w:p w14:paraId="50660B1B" w14:textId="77777777" w:rsidR="00C10EF9" w:rsidRDefault="00C10EF9" w:rsidP="00E12D32">
                    <w:r>
                      <w:rPr>
                        <w:noProof/>
                      </w:rPr>
                      <w:drawing>
                        <wp:inline distT="0" distB="0" distL="0" distR="0" wp14:anchorId="75C4FDE5" wp14:editId="214D3A65">
                          <wp:extent cx="1718310" cy="445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637650">
      <w:rPr>
        <w:i/>
        <w:iCs/>
        <w:sz w:val="22"/>
        <w:szCs w:val="20"/>
      </w:rPr>
      <w:t>Baker v. Carr</w:t>
    </w:r>
    <w:r>
      <w:rPr>
        <w:sz w:val="22"/>
        <w:szCs w:val="20"/>
      </w:rPr>
      <w:t xml:space="preserve"> (1962)</w:t>
    </w:r>
  </w:p>
  <w:p w14:paraId="450407E1" w14:textId="77777777" w:rsidR="00C10EF9" w:rsidRDefault="00C10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B5CB" w14:textId="77777777" w:rsidR="00C10EF9" w:rsidRPr="00B208F5" w:rsidRDefault="00C10EF9" w:rsidP="00E12D32">
    <w:pPr>
      <w:pStyle w:val="Header"/>
      <w:jc w:val="right"/>
    </w:pPr>
    <w:r w:rsidRPr="00B208F5">
      <w:rPr>
        <w:noProof/>
        <w:sz w:val="22"/>
        <w:szCs w:val="20"/>
      </w:rPr>
      <mc:AlternateContent>
        <mc:Choice Requires="wps">
          <w:drawing>
            <wp:anchor distT="0" distB="0" distL="114300" distR="114300" simplePos="0" relativeHeight="251695104" behindDoc="0" locked="0" layoutInCell="1" allowOverlap="1" wp14:anchorId="6D8B96E4" wp14:editId="1F28916E">
              <wp:simplePos x="0" y="0"/>
              <wp:positionH relativeFrom="column">
                <wp:posOffset>-209550</wp:posOffset>
              </wp:positionH>
              <wp:positionV relativeFrom="paragraph">
                <wp:posOffset>-171450</wp:posOffset>
              </wp:positionV>
              <wp:extent cx="2695575"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60671" w14:textId="77777777" w:rsidR="00C10EF9" w:rsidRDefault="00C10EF9" w:rsidP="00E12D32">
                          <w:r>
                            <w:rPr>
                              <w:noProof/>
                            </w:rPr>
                            <w:drawing>
                              <wp:inline distT="0" distB="0" distL="0" distR="0" wp14:anchorId="09F1D70D" wp14:editId="1DD3B177">
                                <wp:extent cx="1718310" cy="44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8B96E4" id="_x0000_t202" coordsize="21600,21600" o:spt="202" path="m,l,21600r21600,l21600,xe">
              <v:stroke joinstyle="miter"/>
              <v:path gradientshapeok="t" o:connecttype="rect"/>
            </v:shapetype>
            <v:shape id="Text Box 2" o:spid="_x0000_s1029" type="#_x0000_t202" style="position:absolute;left:0;text-align:left;margin-left:-16.5pt;margin-top:-13.5pt;width:212.25pt;height:42.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t3O3&#10;Z4ACAABpBQAADgAAAAAAAAAAAAAAAAAuAgAAZHJzL2Uyb0RvYy54bWxQSwECLQAUAAYACAAAACEA&#10;vuRYLeEAAAAKAQAADwAAAAAAAAAAAAAAAADaBAAAZHJzL2Rvd25yZXYueG1sUEsFBgAAAAAEAAQA&#10;8wAAAOgFAAAAAA==&#10;" filled="f" stroked="f" strokeweight=".5pt">
              <v:textbox>
                <w:txbxContent>
                  <w:p w14:paraId="2AC60671" w14:textId="77777777" w:rsidR="00C10EF9" w:rsidRDefault="00C10EF9" w:rsidP="00E12D32">
                    <w:r>
                      <w:rPr>
                        <w:noProof/>
                      </w:rPr>
                      <w:drawing>
                        <wp:inline distT="0" distB="0" distL="0" distR="0" wp14:anchorId="09F1D70D" wp14:editId="1DD3B177">
                          <wp:extent cx="1718310" cy="445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B208F5">
      <w:rPr>
        <w:sz w:val="22"/>
        <w:szCs w:val="20"/>
      </w:rPr>
      <w:t>Street Law Case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520E" w14:textId="77777777" w:rsidR="00C10EF9" w:rsidRDefault="00C10EF9" w:rsidP="00391EA0">
    <w:pPr>
      <w:pStyle w:val="Header"/>
      <w:jc w:val="right"/>
    </w:pPr>
    <w:r w:rsidRPr="000E736C">
      <w:rPr>
        <w:i/>
      </w:rPr>
      <w:t xml:space="preserve">Brown v. Board of Education of Topeka </w:t>
    </w:r>
    <w:r w:rsidRPr="004264A5">
      <w:rPr>
        <w:iCs/>
      </w:rPr>
      <w:t>(1954)</w:t>
    </w:r>
    <w:r w:rsidRPr="00F42CDF">
      <w:rPr>
        <w:i/>
        <w:noProof/>
      </w:rPr>
      <mc:AlternateContent>
        <mc:Choice Requires="wps">
          <w:drawing>
            <wp:anchor distT="0" distB="0" distL="114300" distR="114300" simplePos="0" relativeHeight="251697152" behindDoc="0" locked="0" layoutInCell="1" allowOverlap="1" wp14:anchorId="238AF5A3" wp14:editId="24FE39BF">
              <wp:simplePos x="0" y="0"/>
              <wp:positionH relativeFrom="column">
                <wp:posOffset>-209550</wp:posOffset>
              </wp:positionH>
              <wp:positionV relativeFrom="paragraph">
                <wp:posOffset>-171450</wp:posOffset>
              </wp:positionV>
              <wp:extent cx="2695575" cy="5429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ACE1E" w14:textId="77777777" w:rsidR="00C10EF9" w:rsidRDefault="00C10EF9" w:rsidP="0078549D">
                          <w:r>
                            <w:rPr>
                              <w:noProof/>
                            </w:rPr>
                            <w:drawing>
                              <wp:inline distT="0" distB="0" distL="0" distR="0" wp14:anchorId="3F823BA0" wp14:editId="02364418">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8AF5A3" id="_x0000_t202" coordsize="21600,21600" o:spt="202" path="m,l,21600r21600,l21600,xe">
              <v:stroke joinstyle="miter"/>
              <v:path gradientshapeok="t" o:connecttype="rect"/>
            </v:shapetype>
            <v:shape id="Text Box 8" o:spid="_x0000_s1030" type="#_x0000_t202" style="position:absolute;left:0;text-align:left;margin-left:-16.5pt;margin-top:-13.5pt;width:212.25pt;height:42.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WHvO&#10;64ACAABpBQAADgAAAAAAAAAAAAAAAAAuAgAAZHJzL2Uyb0RvYy54bWxQSwECLQAUAAYACAAAACEA&#10;vuRYLeEAAAAKAQAADwAAAAAAAAAAAAAAAADaBAAAZHJzL2Rvd25yZXYueG1sUEsFBgAAAAAEAAQA&#10;8wAAAOgFAAAAAA==&#10;" filled="f" stroked="f" strokeweight=".5pt">
              <v:textbox>
                <w:txbxContent>
                  <w:p w14:paraId="5EBACE1E" w14:textId="77777777" w:rsidR="00C10EF9" w:rsidRDefault="00C10EF9" w:rsidP="0078549D">
                    <w:r>
                      <w:rPr>
                        <w:noProof/>
                      </w:rPr>
                      <w:drawing>
                        <wp:inline distT="0" distB="0" distL="0" distR="0" wp14:anchorId="3F823BA0" wp14:editId="02364418">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FEA" w14:textId="77777777" w:rsidR="00C10EF9" w:rsidRPr="000E736C" w:rsidRDefault="00C10EF9" w:rsidP="00F42CDF">
    <w:pPr>
      <w:pStyle w:val="Header"/>
      <w:jc w:val="right"/>
      <w:rPr>
        <w:sz w:val="22"/>
      </w:rPr>
    </w:pPr>
    <w:r w:rsidRPr="000E736C">
      <w:rPr>
        <w:noProof/>
        <w:sz w:val="22"/>
      </w:rPr>
      <mc:AlternateContent>
        <mc:Choice Requires="wps">
          <w:drawing>
            <wp:anchor distT="0" distB="0" distL="114300" distR="114300" simplePos="0" relativeHeight="251698176" behindDoc="0" locked="0" layoutInCell="1" allowOverlap="1" wp14:anchorId="47FA0B75" wp14:editId="5E9674BF">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EED76" w14:textId="77777777" w:rsidR="00C10EF9" w:rsidRDefault="00C10EF9" w:rsidP="00F42CDF">
                          <w:r>
                            <w:rPr>
                              <w:noProof/>
                            </w:rPr>
                            <w:drawing>
                              <wp:inline distT="0" distB="0" distL="0" distR="0" wp14:anchorId="6148B02B" wp14:editId="3C9B4C8B">
                                <wp:extent cx="1718310" cy="44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A0B75" id="_x0000_t202" coordsize="21600,21600" o:spt="202" path="m,l,21600r21600,l21600,xe">
              <v:stroke joinstyle="miter"/>
              <v:path gradientshapeok="t" o:connecttype="rect"/>
            </v:shapetype>
            <v:shape id="Text Box 9" o:spid="_x0000_s1031" type="#_x0000_t202" style="position:absolute;left:0;text-align:left;margin-left:-16.5pt;margin-top:-13.5pt;width:212.25pt;height:42.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yggAIAAGk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MOJc&#10;oIACAABpBQAADgAAAAAAAAAAAAAAAAAuAgAAZHJzL2Uyb0RvYy54bWxQSwECLQAUAAYACAAAACEA&#10;vuRYLeEAAAAKAQAADwAAAAAAAAAAAAAAAADaBAAAZHJzL2Rvd25yZXYueG1sUEsFBgAAAAAEAAQA&#10;8wAAAOgFAAAAAA==&#10;" filled="f" stroked="f" strokeweight=".5pt">
              <v:textbox>
                <w:txbxContent>
                  <w:p w14:paraId="76DEED76" w14:textId="77777777" w:rsidR="00C10EF9" w:rsidRDefault="00C10EF9" w:rsidP="00F42CDF">
                    <w:r>
                      <w:rPr>
                        <w:noProof/>
                      </w:rPr>
                      <w:drawing>
                        <wp:inline distT="0" distB="0" distL="0" distR="0" wp14:anchorId="6148B02B" wp14:editId="3C9B4C8B">
                          <wp:extent cx="1718310" cy="44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0E736C">
      <w:rPr>
        <w:sz w:val="22"/>
      </w:rPr>
      <w:t>Street Law Case Summary</w:t>
    </w:r>
  </w:p>
  <w:p w14:paraId="4214D9FC" w14:textId="77777777" w:rsidR="00C10EF9" w:rsidRDefault="00C10E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FFC9" w14:textId="12293161" w:rsidR="00C10EF9" w:rsidRDefault="00C10EF9" w:rsidP="00391EA0">
    <w:pPr>
      <w:pStyle w:val="Header"/>
      <w:jc w:val="right"/>
    </w:pPr>
    <w:r w:rsidRPr="00810E29">
      <w:rPr>
        <w:i/>
      </w:rPr>
      <w:t xml:space="preserve">Citizens United v. FEC </w:t>
    </w:r>
    <w:r w:rsidRPr="004264A5">
      <w:rPr>
        <w:iCs/>
      </w:rPr>
      <w:t>(2010)</w:t>
    </w:r>
    <w:r w:rsidRPr="00F42CDF">
      <w:rPr>
        <w:i/>
        <w:noProof/>
      </w:rPr>
      <mc:AlternateContent>
        <mc:Choice Requires="wps">
          <w:drawing>
            <wp:anchor distT="0" distB="0" distL="114300" distR="114300" simplePos="0" relativeHeight="251734016" behindDoc="0" locked="0" layoutInCell="1" allowOverlap="1" wp14:anchorId="3B577007" wp14:editId="24718440">
              <wp:simplePos x="0" y="0"/>
              <wp:positionH relativeFrom="column">
                <wp:posOffset>-209550</wp:posOffset>
              </wp:positionH>
              <wp:positionV relativeFrom="paragraph">
                <wp:posOffset>-171450</wp:posOffset>
              </wp:positionV>
              <wp:extent cx="2695575" cy="542925"/>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B43C8" w14:textId="77777777" w:rsidR="00C10EF9" w:rsidRDefault="00C10EF9" w:rsidP="0078549D">
                          <w:r>
                            <w:rPr>
                              <w:noProof/>
                            </w:rPr>
                            <w:drawing>
                              <wp:inline distT="0" distB="0" distL="0" distR="0" wp14:anchorId="3E617F87" wp14:editId="3D663E40">
                                <wp:extent cx="1718310" cy="44513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577007" id="_x0000_t202" coordsize="21600,21600" o:spt="202" path="m,l,21600r21600,l21600,xe">
              <v:stroke joinstyle="miter"/>
              <v:path gradientshapeok="t" o:connecttype="rect"/>
            </v:shapetype>
            <v:shape id="Text Box 219" o:spid="_x0000_s1032" type="#_x0000_t202" style="position:absolute;left:0;text-align:left;margin-left:-16.5pt;margin-top:-13.5pt;width:212.25pt;height:42.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C6&#10;hR62ggIAAG0FAAAOAAAAAAAAAAAAAAAAAC4CAABkcnMvZTJvRG9jLnhtbFBLAQItABQABgAIAAAA&#10;IQC+5Fgt4QAAAAoBAAAPAAAAAAAAAAAAAAAAANwEAABkcnMvZG93bnJldi54bWxQSwUGAAAAAAQA&#10;BADzAAAA6gUAAAAA&#10;" filled="f" stroked="f" strokeweight=".5pt">
              <v:textbox>
                <w:txbxContent>
                  <w:p w14:paraId="2D9B43C8" w14:textId="77777777" w:rsidR="00C10EF9" w:rsidRDefault="00C10EF9" w:rsidP="0078549D">
                    <w:r>
                      <w:rPr>
                        <w:noProof/>
                      </w:rPr>
                      <w:drawing>
                        <wp:inline distT="0" distB="0" distL="0" distR="0" wp14:anchorId="3E617F87" wp14:editId="3D663E40">
                          <wp:extent cx="1718310" cy="44513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6A5" w14:textId="2A4A120A" w:rsidR="00C10EF9" w:rsidRDefault="00C10EF9" w:rsidP="00391EA0">
    <w:pPr>
      <w:pStyle w:val="Header"/>
      <w:jc w:val="right"/>
    </w:pPr>
    <w:r>
      <w:rPr>
        <w:i/>
      </w:rPr>
      <w:t>Engel v. Vitale</w:t>
    </w:r>
    <w:r w:rsidRPr="00810E29">
      <w:rPr>
        <w:i/>
      </w:rPr>
      <w:t xml:space="preserve"> </w:t>
    </w:r>
    <w:r w:rsidRPr="004264A5">
      <w:rPr>
        <w:iCs/>
      </w:rPr>
      <w:t>(1962)</w:t>
    </w:r>
    <w:r w:rsidRPr="00F42CDF">
      <w:rPr>
        <w:i/>
        <w:noProof/>
      </w:rPr>
      <mc:AlternateContent>
        <mc:Choice Requires="wps">
          <w:drawing>
            <wp:anchor distT="0" distB="0" distL="114300" distR="114300" simplePos="0" relativeHeight="251736064" behindDoc="0" locked="0" layoutInCell="1" allowOverlap="1" wp14:anchorId="1CCE4100" wp14:editId="2FA0544C">
              <wp:simplePos x="0" y="0"/>
              <wp:positionH relativeFrom="column">
                <wp:posOffset>-209550</wp:posOffset>
              </wp:positionH>
              <wp:positionV relativeFrom="paragraph">
                <wp:posOffset>-171450</wp:posOffset>
              </wp:positionV>
              <wp:extent cx="2695575" cy="542925"/>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663FC" w14:textId="77777777" w:rsidR="00C10EF9" w:rsidRDefault="00C10EF9" w:rsidP="0078549D">
                          <w:r>
                            <w:rPr>
                              <w:noProof/>
                            </w:rPr>
                            <w:drawing>
                              <wp:inline distT="0" distB="0" distL="0" distR="0" wp14:anchorId="62413E52" wp14:editId="7C00A9ED">
                                <wp:extent cx="1718310" cy="44513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CE4100" id="_x0000_t202" coordsize="21600,21600" o:spt="202" path="m,l,21600r21600,l21600,xe">
              <v:stroke joinstyle="miter"/>
              <v:path gradientshapeok="t" o:connecttype="rect"/>
            </v:shapetype>
            <v:shape id="Text Box 221" o:spid="_x0000_s1033" type="#_x0000_t202" style="position:absolute;left:0;text-align:left;margin-left:-16.5pt;margin-top:-13.5pt;width:212.25pt;height:42.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tOACWoMCAABtBQAADgAAAAAAAAAAAAAAAAAuAgAAZHJzL2Uyb0RvYy54bWxQSwECLQAUAAYACAAA&#10;ACEAvuRYLeEAAAAKAQAADwAAAAAAAAAAAAAAAADdBAAAZHJzL2Rvd25yZXYueG1sUEsFBgAAAAAE&#10;AAQA8wAAAOsFAAAAAA==&#10;" filled="f" stroked="f" strokeweight=".5pt">
              <v:textbox>
                <w:txbxContent>
                  <w:p w14:paraId="7DA663FC" w14:textId="77777777" w:rsidR="00C10EF9" w:rsidRDefault="00C10EF9" w:rsidP="0078549D">
                    <w:r>
                      <w:rPr>
                        <w:noProof/>
                      </w:rPr>
                      <w:drawing>
                        <wp:inline distT="0" distB="0" distL="0" distR="0" wp14:anchorId="62413E52" wp14:editId="7C00A9ED">
                          <wp:extent cx="1718310" cy="44513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23EA" w14:textId="2DFCE83E" w:rsidR="00C10EF9" w:rsidRPr="00F42CDF" w:rsidRDefault="00C10EF9" w:rsidP="0078549D">
    <w:pPr>
      <w:pStyle w:val="Header"/>
      <w:jc w:val="right"/>
      <w:rPr>
        <w:i/>
      </w:rPr>
    </w:pPr>
    <w:r>
      <w:rPr>
        <w:i/>
      </w:rPr>
      <w:t>Gideon v. Wainwright</w:t>
    </w:r>
    <w:r w:rsidRPr="00810E29">
      <w:rPr>
        <w:i/>
      </w:rPr>
      <w:t xml:space="preserve"> </w:t>
    </w:r>
    <w:r w:rsidRPr="004264A5">
      <w:rPr>
        <w:iCs/>
      </w:rPr>
      <w:t>(1963)</w:t>
    </w:r>
    <w:r w:rsidRPr="00F42CDF">
      <w:rPr>
        <w:i/>
        <w:noProof/>
      </w:rPr>
      <mc:AlternateContent>
        <mc:Choice Requires="wps">
          <w:drawing>
            <wp:anchor distT="0" distB="0" distL="114300" distR="114300" simplePos="0" relativeHeight="251703296" behindDoc="0" locked="0" layoutInCell="1" allowOverlap="1" wp14:anchorId="11C4F69C" wp14:editId="4C356CD4">
              <wp:simplePos x="0" y="0"/>
              <wp:positionH relativeFrom="column">
                <wp:posOffset>-209550</wp:posOffset>
              </wp:positionH>
              <wp:positionV relativeFrom="paragraph">
                <wp:posOffset>-171450</wp:posOffset>
              </wp:positionV>
              <wp:extent cx="2695575" cy="5429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2D1C6" w14:textId="77777777" w:rsidR="00C10EF9" w:rsidRDefault="00C10EF9" w:rsidP="0078549D">
                          <w:r>
                            <w:rPr>
                              <w:noProof/>
                            </w:rPr>
                            <w:drawing>
                              <wp:inline distT="0" distB="0" distL="0" distR="0" wp14:anchorId="1A86557A" wp14:editId="2E89DF4F">
                                <wp:extent cx="1718310" cy="44513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C4F69C" id="_x0000_t202" coordsize="21600,21600" o:spt="202" path="m,l,21600r21600,l21600,xe">
              <v:stroke joinstyle="miter"/>
              <v:path gradientshapeok="t" o:connecttype="rect"/>
            </v:shapetype>
            <v:shape id="Text Box 45" o:spid="_x0000_s1034" type="#_x0000_t202" style="position:absolute;left:0;text-align:left;margin-left:-16.5pt;margin-top:-13.5pt;width:212.25pt;height:42.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qE&#10;x0SBAgAAawUAAA4AAAAAAAAAAAAAAAAALgIAAGRycy9lMm9Eb2MueG1sUEsBAi0AFAAGAAgAAAAh&#10;AL7kWC3hAAAACgEAAA8AAAAAAAAAAAAAAAAA2wQAAGRycy9kb3ducmV2LnhtbFBLBQYAAAAABAAE&#10;APMAAADpBQAAAAA=&#10;" filled="f" stroked="f" strokeweight=".5pt">
              <v:textbox>
                <w:txbxContent>
                  <w:p w14:paraId="0B92D1C6" w14:textId="77777777" w:rsidR="00C10EF9" w:rsidRDefault="00C10EF9" w:rsidP="0078549D">
                    <w:r>
                      <w:rPr>
                        <w:noProof/>
                      </w:rPr>
                      <w:drawing>
                        <wp:inline distT="0" distB="0" distL="0" distR="0" wp14:anchorId="1A86557A" wp14:editId="2E89DF4F">
                          <wp:extent cx="1718310" cy="44513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p w14:paraId="2E968E11" w14:textId="77777777" w:rsidR="00C10EF9" w:rsidRDefault="00C1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83EB8"/>
    <w:multiLevelType w:val="hybridMultilevel"/>
    <w:tmpl w:val="BDBC6294"/>
    <w:lvl w:ilvl="0" w:tplc="7FAA14A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DF"/>
    <w:rsid w:val="00002163"/>
    <w:rsid w:val="000248E2"/>
    <w:rsid w:val="00046162"/>
    <w:rsid w:val="0008670F"/>
    <w:rsid w:val="000B53C1"/>
    <w:rsid w:val="000C0D30"/>
    <w:rsid w:val="000D0D29"/>
    <w:rsid w:val="000E239D"/>
    <w:rsid w:val="000E3154"/>
    <w:rsid w:val="000F4EB1"/>
    <w:rsid w:val="00121497"/>
    <w:rsid w:val="00136C23"/>
    <w:rsid w:val="0014205C"/>
    <w:rsid w:val="00144A75"/>
    <w:rsid w:val="00152AEE"/>
    <w:rsid w:val="00156CCC"/>
    <w:rsid w:val="00161C2E"/>
    <w:rsid w:val="00163CBF"/>
    <w:rsid w:val="00170B98"/>
    <w:rsid w:val="001A4B16"/>
    <w:rsid w:val="001A6B19"/>
    <w:rsid w:val="001C26FE"/>
    <w:rsid w:val="00211230"/>
    <w:rsid w:val="00226431"/>
    <w:rsid w:val="00227E95"/>
    <w:rsid w:val="00231AA5"/>
    <w:rsid w:val="0024070D"/>
    <w:rsid w:val="00250DD3"/>
    <w:rsid w:val="00254B21"/>
    <w:rsid w:val="00264BD7"/>
    <w:rsid w:val="00290061"/>
    <w:rsid w:val="00291213"/>
    <w:rsid w:val="002B4D38"/>
    <w:rsid w:val="002C122A"/>
    <w:rsid w:val="002C68A3"/>
    <w:rsid w:val="002D2EBF"/>
    <w:rsid w:val="002E7F58"/>
    <w:rsid w:val="002F7B12"/>
    <w:rsid w:val="00304C79"/>
    <w:rsid w:val="00310F79"/>
    <w:rsid w:val="003116DC"/>
    <w:rsid w:val="00317735"/>
    <w:rsid w:val="00324F7E"/>
    <w:rsid w:val="00330C55"/>
    <w:rsid w:val="003401E7"/>
    <w:rsid w:val="00375090"/>
    <w:rsid w:val="00377723"/>
    <w:rsid w:val="00391EA0"/>
    <w:rsid w:val="00396AEB"/>
    <w:rsid w:val="003D486D"/>
    <w:rsid w:val="00401701"/>
    <w:rsid w:val="00407942"/>
    <w:rsid w:val="004137AA"/>
    <w:rsid w:val="00424B4F"/>
    <w:rsid w:val="004264A5"/>
    <w:rsid w:val="00431309"/>
    <w:rsid w:val="004448A8"/>
    <w:rsid w:val="004579B6"/>
    <w:rsid w:val="00462097"/>
    <w:rsid w:val="0047219B"/>
    <w:rsid w:val="004722A9"/>
    <w:rsid w:val="00475BBA"/>
    <w:rsid w:val="00496974"/>
    <w:rsid w:val="00496A00"/>
    <w:rsid w:val="004B0C6B"/>
    <w:rsid w:val="004B3D25"/>
    <w:rsid w:val="004B560A"/>
    <w:rsid w:val="004E5DBB"/>
    <w:rsid w:val="005149D1"/>
    <w:rsid w:val="005311FB"/>
    <w:rsid w:val="005839AC"/>
    <w:rsid w:val="005A0330"/>
    <w:rsid w:val="005A448F"/>
    <w:rsid w:val="005C4EE4"/>
    <w:rsid w:val="00607775"/>
    <w:rsid w:val="00690889"/>
    <w:rsid w:val="00694889"/>
    <w:rsid w:val="00694AE4"/>
    <w:rsid w:val="006E1586"/>
    <w:rsid w:val="006E589B"/>
    <w:rsid w:val="007052C4"/>
    <w:rsid w:val="007522FE"/>
    <w:rsid w:val="0076613D"/>
    <w:rsid w:val="0078549D"/>
    <w:rsid w:val="007A196E"/>
    <w:rsid w:val="007A59B9"/>
    <w:rsid w:val="007A5E5C"/>
    <w:rsid w:val="007A78E8"/>
    <w:rsid w:val="007B4E71"/>
    <w:rsid w:val="007B7E1E"/>
    <w:rsid w:val="007E788E"/>
    <w:rsid w:val="007F700D"/>
    <w:rsid w:val="00810E29"/>
    <w:rsid w:val="00815CB0"/>
    <w:rsid w:val="0081706F"/>
    <w:rsid w:val="00830A4E"/>
    <w:rsid w:val="008344B3"/>
    <w:rsid w:val="008906FE"/>
    <w:rsid w:val="008B7FBA"/>
    <w:rsid w:val="008E65A2"/>
    <w:rsid w:val="0090185B"/>
    <w:rsid w:val="00930A80"/>
    <w:rsid w:val="00936651"/>
    <w:rsid w:val="009666C8"/>
    <w:rsid w:val="009B4358"/>
    <w:rsid w:val="009D6B03"/>
    <w:rsid w:val="00A06F2D"/>
    <w:rsid w:val="00A16F10"/>
    <w:rsid w:val="00A20646"/>
    <w:rsid w:val="00A264C3"/>
    <w:rsid w:val="00A64B46"/>
    <w:rsid w:val="00A846E2"/>
    <w:rsid w:val="00AB0C11"/>
    <w:rsid w:val="00AC1A30"/>
    <w:rsid w:val="00AE0C77"/>
    <w:rsid w:val="00B04C41"/>
    <w:rsid w:val="00B07FF7"/>
    <w:rsid w:val="00B14232"/>
    <w:rsid w:val="00B44631"/>
    <w:rsid w:val="00B50693"/>
    <w:rsid w:val="00B62487"/>
    <w:rsid w:val="00B91534"/>
    <w:rsid w:val="00B97632"/>
    <w:rsid w:val="00BB2AFE"/>
    <w:rsid w:val="00BD0B62"/>
    <w:rsid w:val="00BE4A01"/>
    <w:rsid w:val="00BF5901"/>
    <w:rsid w:val="00C10EF9"/>
    <w:rsid w:val="00C15FFD"/>
    <w:rsid w:val="00C2000D"/>
    <w:rsid w:val="00C30920"/>
    <w:rsid w:val="00C345C1"/>
    <w:rsid w:val="00C42CDF"/>
    <w:rsid w:val="00C475E6"/>
    <w:rsid w:val="00C6441F"/>
    <w:rsid w:val="00C67893"/>
    <w:rsid w:val="00C9229A"/>
    <w:rsid w:val="00C949AC"/>
    <w:rsid w:val="00CC30C5"/>
    <w:rsid w:val="00CC4BDB"/>
    <w:rsid w:val="00CD3137"/>
    <w:rsid w:val="00D42341"/>
    <w:rsid w:val="00D43F42"/>
    <w:rsid w:val="00D52F5A"/>
    <w:rsid w:val="00D70213"/>
    <w:rsid w:val="00D825E8"/>
    <w:rsid w:val="00DA4243"/>
    <w:rsid w:val="00DD6D1A"/>
    <w:rsid w:val="00DE3D18"/>
    <w:rsid w:val="00DE3E00"/>
    <w:rsid w:val="00DE4AF3"/>
    <w:rsid w:val="00E07FB2"/>
    <w:rsid w:val="00E10979"/>
    <w:rsid w:val="00E12D32"/>
    <w:rsid w:val="00E47C6F"/>
    <w:rsid w:val="00E60338"/>
    <w:rsid w:val="00E75C46"/>
    <w:rsid w:val="00E9032A"/>
    <w:rsid w:val="00E90BFE"/>
    <w:rsid w:val="00EB28F6"/>
    <w:rsid w:val="00F05A51"/>
    <w:rsid w:val="00F2350E"/>
    <w:rsid w:val="00F3300D"/>
    <w:rsid w:val="00F40F6E"/>
    <w:rsid w:val="00F42CDF"/>
    <w:rsid w:val="00F52825"/>
    <w:rsid w:val="00F70B71"/>
    <w:rsid w:val="00F77172"/>
    <w:rsid w:val="00F80F7D"/>
    <w:rsid w:val="00FA07EF"/>
    <w:rsid w:val="00FA6226"/>
    <w:rsid w:val="00FC5BD8"/>
    <w:rsid w:val="00FC6588"/>
    <w:rsid w:val="00FD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C51B8"/>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25"/>
    <w:pPr>
      <w:spacing w:line="240" w:lineRule="auto"/>
    </w:pPr>
    <w:rPr>
      <w:rFonts w:ascii="Garamond" w:hAnsi="Garamond"/>
      <w:sz w:val="24"/>
    </w:rPr>
  </w:style>
  <w:style w:type="paragraph" w:styleId="Heading1">
    <w:name w:val="heading 1"/>
    <w:basedOn w:val="Normal"/>
    <w:next w:val="Normal"/>
    <w:link w:val="Heading1Char"/>
    <w:uiPriority w:val="9"/>
    <w:rsid w:val="00250DD3"/>
    <w:pPr>
      <w:keepNext/>
      <w:keepLines/>
      <w:spacing w:before="360" w:after="240"/>
      <w:jc w:val="center"/>
      <w:outlineLvl w:val="0"/>
    </w:pPr>
    <w:rPr>
      <w:rFonts w:ascii="Gill Sans MT" w:eastAsiaTheme="majorEastAsia" w:hAnsi="Gill Sans MT" w:cstheme="majorBidi"/>
      <w:b/>
      <w:bCs/>
      <w:i/>
      <w:iCs/>
      <w:sz w:val="36"/>
      <w:szCs w:val="36"/>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D3"/>
    <w:rPr>
      <w:rFonts w:ascii="Gill Sans MT" w:eastAsiaTheme="majorEastAsia" w:hAnsi="Gill Sans MT" w:cstheme="majorBidi"/>
      <w:b/>
      <w:bCs/>
      <w:i/>
      <w:iCs/>
      <w:sz w:val="36"/>
      <w:szCs w:val="36"/>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 w:type="paragraph" w:styleId="TOC1">
    <w:name w:val="toc 1"/>
    <w:basedOn w:val="Normal"/>
    <w:next w:val="Normal"/>
    <w:autoRedefine/>
    <w:uiPriority w:val="39"/>
    <w:unhideWhenUsed/>
    <w:rsid w:val="00E47C6F"/>
    <w:pPr>
      <w:spacing w:after="100"/>
    </w:pPr>
  </w:style>
  <w:style w:type="paragraph" w:customStyle="1" w:styleId="Basiccopyindentedsl">
    <w:name w:val="Basic copy indented_sl"/>
    <w:basedOn w:val="Basiccopysl"/>
    <w:rsid w:val="00BB2AFE"/>
    <w:pPr>
      <w:ind w:left="720"/>
    </w:pPr>
  </w:style>
  <w:style w:type="paragraph" w:customStyle="1" w:styleId="Bulletboldsl">
    <w:name w:val="Bullet bold_sl"/>
    <w:basedOn w:val="Bulletsl"/>
    <w:rsid w:val="00BB2AFE"/>
    <w:pPr>
      <w:spacing w:before="240" w:line="276" w:lineRule="auto"/>
    </w:pPr>
    <w:rPr>
      <w:b/>
      <w:iCs/>
    </w:rPr>
  </w:style>
  <w:style w:type="table" w:styleId="TableGrid">
    <w:name w:val="Table Grid"/>
    <w:basedOn w:val="TableNormal"/>
    <w:uiPriority w:val="39"/>
    <w:rsid w:val="00E1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copyindentedsl0">
    <w:name w:val="Basic copy_indented_sl"/>
    <w:basedOn w:val="Basiccopysl"/>
    <w:rsid w:val="00E12D32"/>
    <w:pPr>
      <w:spacing w:line="240" w:lineRule="auto"/>
      <w:ind w:left="720"/>
    </w:pPr>
    <w:rPr>
      <w:rFonts w:eastAsia="Times New Roman" w:cs="Times New Roman"/>
    </w:rPr>
  </w:style>
  <w:style w:type="character" w:styleId="UnresolvedMention">
    <w:name w:val="Unresolved Mention"/>
    <w:basedOn w:val="DefaultParagraphFont"/>
    <w:uiPriority w:val="99"/>
    <w:semiHidden/>
    <w:unhideWhenUsed/>
    <w:rsid w:val="005A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2663">
      <w:bodyDiv w:val="1"/>
      <w:marLeft w:val="0"/>
      <w:marRight w:val="0"/>
      <w:marTop w:val="0"/>
      <w:marBottom w:val="0"/>
      <w:divBdr>
        <w:top w:val="none" w:sz="0" w:space="0" w:color="auto"/>
        <w:left w:val="none" w:sz="0" w:space="0" w:color="auto"/>
        <w:bottom w:val="none" w:sz="0" w:space="0" w:color="auto"/>
        <w:right w:val="none" w:sz="0" w:space="0" w:color="auto"/>
      </w:divBdr>
    </w:div>
    <w:div w:id="16772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landmarkcases.org/" TargetMode="Externa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yperlink" Target="https://www.landmarkcases.org/" TargetMode="External"/><Relationship Id="rId42" Type="http://schemas.openxmlformats.org/officeDocument/2006/relationships/header" Target="header14.xml"/><Relationship Id="rId47" Type="http://schemas.openxmlformats.org/officeDocument/2006/relationships/footer" Target="footer16.xml"/><Relationship Id="rId50" Type="http://schemas.openxmlformats.org/officeDocument/2006/relationships/hyperlink" Target="https://www.landmarkcases.org/" TargetMode="External"/><Relationship Id="rId55" Type="http://schemas.openxmlformats.org/officeDocument/2006/relationships/hyperlink" Target="https://www.landmarkcases.org/" TargetMode="Externa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landmarkcases.org/"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https://www.landmarkcases.org/"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19.xml"/><Relationship Id="rId58" Type="http://schemas.openxmlformats.org/officeDocument/2006/relationships/header" Target="header21.xml"/><Relationship Id="rId66" Type="http://schemas.openxmlformats.org/officeDocument/2006/relationships/footer" Target="footer24.xml"/><Relationship Id="rId74" Type="http://schemas.openxmlformats.org/officeDocument/2006/relationships/header" Target="header28.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hyperlink" Target="https://www.landmarkcases.org/" TargetMode="Externa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footer" Target="footer18.xml"/><Relationship Id="rId60" Type="http://schemas.openxmlformats.org/officeDocument/2006/relationships/header" Target="header22.xml"/><Relationship Id="rId65" Type="http://schemas.openxmlformats.org/officeDocument/2006/relationships/header" Target="header24.xml"/><Relationship Id="rId73" Type="http://schemas.openxmlformats.org/officeDocument/2006/relationships/hyperlink" Target="https://supreme.justia.com/cases/federal/us/406/2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header" Target="header20.xml"/><Relationship Id="rId64" Type="http://schemas.openxmlformats.org/officeDocument/2006/relationships/hyperlink" Target="https://www.landmarkcases.org/" TargetMode="External"/><Relationship Id="rId69" Type="http://schemas.openxmlformats.org/officeDocument/2006/relationships/header" Target="header26.xml"/><Relationship Id="rId77" Type="http://schemas.openxmlformats.org/officeDocument/2006/relationships/footer" Target="footer29.xm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footer" Target="footer2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5.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footer" Target="footer19.xml"/><Relationship Id="rId62" Type="http://schemas.openxmlformats.org/officeDocument/2006/relationships/header" Target="header23.xml"/><Relationship Id="rId70" Type="http://schemas.openxmlformats.org/officeDocument/2006/relationships/footer" Target="footer26.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footer" Target="footer20.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ACCAD1D0699144949A1C7BE69854EA" ma:contentTypeVersion="9" ma:contentTypeDescription="Create a new document." ma:contentTypeScope="" ma:versionID="4e5baef19047d4da70cc60799258b62f">
  <xsd:schema xmlns:xsd="http://www.w3.org/2001/XMLSchema" xmlns:xs="http://www.w3.org/2001/XMLSchema" xmlns:p="http://schemas.microsoft.com/office/2006/metadata/properties" xmlns:ns2="9d11a848-538a-43ab-98cf-7e095cd94d52" targetNamespace="http://schemas.microsoft.com/office/2006/metadata/properties" ma:root="true" ma:fieldsID="36df5f183384663f33b873f446e87f56" ns2:_="">
    <xsd:import namespace="9d11a848-538a-43ab-98cf-7e095cd94d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a848-538a-43ab-98cf-7e095cd94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95132-8AFA-41BD-BE66-FA90AE89C4E2}">
  <ds:schemaRefs>
    <ds:schemaRef ds:uri="http://schemas.microsoft.com/sharepoint/v3/contenttype/forms"/>
  </ds:schemaRefs>
</ds:datastoreItem>
</file>

<file path=customXml/itemProps2.xml><?xml version="1.0" encoding="utf-8"?>
<ds:datastoreItem xmlns:ds="http://schemas.openxmlformats.org/officeDocument/2006/customXml" ds:itemID="{691F6399-7D29-4F9A-98D7-922999017B15}">
  <ds:schemaRefs>
    <ds:schemaRef ds:uri="http://schemas.openxmlformats.org/officeDocument/2006/bibliography"/>
  </ds:schemaRefs>
</ds:datastoreItem>
</file>

<file path=customXml/itemProps3.xml><?xml version="1.0" encoding="utf-8"?>
<ds:datastoreItem xmlns:ds="http://schemas.openxmlformats.org/officeDocument/2006/customXml" ds:itemID="{1AE72225-4B6F-41FE-B04B-A8E58A03A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EB301-6013-4E66-BDC4-B2220DDE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1a848-538a-43ab-98cf-7e095cd94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5</TotalTime>
  <Pages>73</Pages>
  <Words>26094</Words>
  <Characters>148738</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McCane, Alexander</cp:lastModifiedBy>
  <cp:revision>2</cp:revision>
  <dcterms:created xsi:type="dcterms:W3CDTF">2021-10-14T17:41:00Z</dcterms:created>
  <dcterms:modified xsi:type="dcterms:W3CDTF">2021-10-14T17:41:00Z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0x0101008FACCAD1D0699144949A1C7BE69854EA</vt:lpwstr>
  </property>
</Properties>
</file>